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AB79" w14:textId="59C75971"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21EC407E" w:rsidR="00886144" w:rsidRDefault="000C0151" w:rsidP="00886144">
      <w:pPr>
        <w:rPr>
          <w:b/>
          <w:sz w:val="20"/>
          <w:szCs w:val="20"/>
        </w:rPr>
      </w:pPr>
      <w:r>
        <w:rPr>
          <w:sz w:val="20"/>
          <w:szCs w:val="20"/>
        </w:rPr>
        <w:t>Minutes of the meeting of Symondsbury Parish Council held on T</w:t>
      </w:r>
      <w:r w:rsidR="006E18BD">
        <w:rPr>
          <w:sz w:val="20"/>
          <w:szCs w:val="20"/>
        </w:rPr>
        <w:t>hur</w:t>
      </w:r>
      <w:r>
        <w:rPr>
          <w:sz w:val="20"/>
          <w:szCs w:val="20"/>
        </w:rPr>
        <w:t xml:space="preserve">sday </w:t>
      </w:r>
      <w:r w:rsidR="009A15A5">
        <w:rPr>
          <w:sz w:val="20"/>
          <w:szCs w:val="20"/>
        </w:rPr>
        <w:t>8 Febr</w:t>
      </w:r>
      <w:r w:rsidR="00B30EB8">
        <w:rPr>
          <w:sz w:val="20"/>
          <w:szCs w:val="20"/>
        </w:rPr>
        <w:t>uary 2024</w:t>
      </w:r>
      <w:r w:rsidR="00D21ED4">
        <w:rPr>
          <w:sz w:val="20"/>
          <w:szCs w:val="20"/>
        </w:rPr>
        <w:t xml:space="preserve"> </w:t>
      </w:r>
      <w:r>
        <w:rPr>
          <w:sz w:val="20"/>
          <w:szCs w:val="20"/>
        </w:rPr>
        <w:t xml:space="preserve">at 7pm at </w:t>
      </w:r>
      <w:r w:rsidR="00867FF5">
        <w:rPr>
          <w:sz w:val="20"/>
          <w:szCs w:val="20"/>
        </w:rPr>
        <w:t>Symondsbury School, Symondsbury</w:t>
      </w:r>
    </w:p>
    <w:p w14:paraId="72F86CFC" w14:textId="57FBD320" w:rsidR="007D7D7C" w:rsidRPr="007D7D7C" w:rsidRDefault="007D7D7C" w:rsidP="00AE23AB">
      <w:pPr>
        <w:rPr>
          <w:bCs/>
          <w:sz w:val="20"/>
          <w:szCs w:val="20"/>
        </w:rPr>
      </w:pPr>
      <w:r w:rsidRPr="007D7D7C">
        <w:rPr>
          <w:bCs/>
          <w:sz w:val="20"/>
          <w:szCs w:val="20"/>
        </w:rPr>
        <w:t xml:space="preserve">The Chair started the meeting by wishing His Royal Highness King Charles III a speedy recovery. He also paid tribute to Maurice Barnes, of the Parish, who had died </w:t>
      </w:r>
      <w:proofErr w:type="gramStart"/>
      <w:r w:rsidRPr="007D7D7C">
        <w:rPr>
          <w:bCs/>
          <w:sz w:val="20"/>
          <w:szCs w:val="20"/>
        </w:rPr>
        <w:t>recently</w:t>
      </w:r>
      <w:proofErr w:type="gramEnd"/>
      <w:r w:rsidRPr="007D7D7C">
        <w:rPr>
          <w:bCs/>
          <w:sz w:val="20"/>
          <w:szCs w:val="20"/>
        </w:rPr>
        <w:t xml:space="preserve"> and a minute’s silence took place. The Parish Council sends best wishes to Mr Barnes’ family and friends.</w:t>
      </w:r>
    </w:p>
    <w:p w14:paraId="11D07128" w14:textId="192D2D4E" w:rsidR="00AE23AB" w:rsidRDefault="000C0151" w:rsidP="00AE23AB">
      <w:pPr>
        <w:rPr>
          <w:sz w:val="20"/>
          <w:szCs w:val="20"/>
        </w:rPr>
      </w:pPr>
      <w:r>
        <w:rPr>
          <w:b/>
          <w:sz w:val="20"/>
          <w:szCs w:val="20"/>
        </w:rPr>
        <w:t>0001</w:t>
      </w:r>
      <w:r w:rsidR="00447AF4">
        <w:rPr>
          <w:b/>
          <w:sz w:val="20"/>
          <w:szCs w:val="20"/>
        </w:rPr>
        <w:t xml:space="preserve">: </w:t>
      </w:r>
      <w:r>
        <w:rPr>
          <w:b/>
          <w:sz w:val="20"/>
          <w:szCs w:val="20"/>
        </w:rPr>
        <w:t>To receive and approve apologies</w:t>
      </w:r>
      <w:r>
        <w:rPr>
          <w:sz w:val="20"/>
          <w:szCs w:val="20"/>
        </w:rPr>
        <w:t xml:space="preserve"> </w:t>
      </w:r>
      <w:r>
        <w:rPr>
          <w:b/>
          <w:sz w:val="20"/>
          <w:szCs w:val="20"/>
        </w:rPr>
        <w:t xml:space="preserve">for absence: </w:t>
      </w:r>
      <w:r>
        <w:rPr>
          <w:sz w:val="20"/>
          <w:szCs w:val="20"/>
        </w:rPr>
        <w:t xml:space="preserve"> </w:t>
      </w:r>
      <w:r w:rsidR="00447AF4">
        <w:rPr>
          <w:b/>
          <w:sz w:val="20"/>
          <w:szCs w:val="20"/>
        </w:rPr>
        <w:t>PRESENT:</w:t>
      </w:r>
      <w:r w:rsidR="00447AF4">
        <w:rPr>
          <w:sz w:val="20"/>
          <w:szCs w:val="20"/>
        </w:rPr>
        <w:t xml:space="preserve"> Cllrs – S Ralph,</w:t>
      </w:r>
      <w:r w:rsidR="00584677" w:rsidRPr="00584677">
        <w:rPr>
          <w:sz w:val="20"/>
          <w:szCs w:val="20"/>
        </w:rPr>
        <w:t xml:space="preserve"> </w:t>
      </w:r>
      <w:r w:rsidR="009A15A5">
        <w:rPr>
          <w:sz w:val="20"/>
          <w:szCs w:val="20"/>
        </w:rPr>
        <w:t>P Hartmann</w:t>
      </w:r>
      <w:r w:rsidR="00584677">
        <w:rPr>
          <w:sz w:val="20"/>
          <w:szCs w:val="20"/>
        </w:rPr>
        <w:t>, V Kavanagh</w:t>
      </w:r>
      <w:r w:rsidR="009A15A5">
        <w:rPr>
          <w:sz w:val="20"/>
          <w:szCs w:val="20"/>
        </w:rPr>
        <w:t xml:space="preserve">, S Evans </w:t>
      </w:r>
      <w:r w:rsidR="00584677">
        <w:rPr>
          <w:sz w:val="20"/>
          <w:szCs w:val="20"/>
        </w:rPr>
        <w:t>and A Streatfeild</w:t>
      </w:r>
      <w:r w:rsidR="00867FF5">
        <w:rPr>
          <w:sz w:val="20"/>
          <w:szCs w:val="20"/>
        </w:rPr>
        <w:t xml:space="preserve">. </w:t>
      </w:r>
      <w:r w:rsidR="00447AF4">
        <w:rPr>
          <w:sz w:val="20"/>
          <w:szCs w:val="20"/>
        </w:rPr>
        <w:t>In attendance: Natalie Bealing, Clerk</w:t>
      </w:r>
      <w:r w:rsidR="004F6A1C">
        <w:rPr>
          <w:sz w:val="20"/>
          <w:szCs w:val="20"/>
        </w:rPr>
        <w:t>,</w:t>
      </w:r>
      <w:r w:rsidR="00455568">
        <w:rPr>
          <w:sz w:val="20"/>
          <w:szCs w:val="20"/>
        </w:rPr>
        <w:t xml:space="preserve"> </w:t>
      </w:r>
      <w:r w:rsidR="00AE23AB">
        <w:rPr>
          <w:sz w:val="20"/>
          <w:szCs w:val="20"/>
        </w:rPr>
        <w:t xml:space="preserve">and </w:t>
      </w:r>
      <w:r w:rsidR="00584677">
        <w:rPr>
          <w:sz w:val="20"/>
          <w:szCs w:val="20"/>
        </w:rPr>
        <w:t>one</w:t>
      </w:r>
      <w:r w:rsidR="00867FF5">
        <w:rPr>
          <w:sz w:val="20"/>
          <w:szCs w:val="20"/>
        </w:rPr>
        <w:t xml:space="preserve"> </w:t>
      </w:r>
      <w:r w:rsidR="00AE23AB">
        <w:rPr>
          <w:sz w:val="20"/>
          <w:szCs w:val="20"/>
        </w:rPr>
        <w:t>member of the public</w:t>
      </w:r>
      <w:r w:rsidR="004F6A1C">
        <w:rPr>
          <w:sz w:val="20"/>
          <w:szCs w:val="20"/>
        </w:rPr>
        <w:t xml:space="preserve">. </w:t>
      </w:r>
      <w:r w:rsidR="00204584">
        <w:rPr>
          <w:sz w:val="20"/>
          <w:szCs w:val="20"/>
        </w:rPr>
        <w:t>Cllr</w:t>
      </w:r>
      <w:r w:rsidR="00455568">
        <w:rPr>
          <w:sz w:val="20"/>
          <w:szCs w:val="20"/>
        </w:rPr>
        <w:t>s</w:t>
      </w:r>
      <w:r w:rsidR="00204584">
        <w:rPr>
          <w:sz w:val="20"/>
          <w:szCs w:val="20"/>
        </w:rPr>
        <w:t xml:space="preserve"> </w:t>
      </w:r>
      <w:r w:rsidR="00584677">
        <w:rPr>
          <w:sz w:val="20"/>
          <w:szCs w:val="20"/>
        </w:rPr>
        <w:t xml:space="preserve">T Cox, and </w:t>
      </w:r>
      <w:r w:rsidR="009A15A5">
        <w:rPr>
          <w:sz w:val="20"/>
          <w:szCs w:val="20"/>
        </w:rPr>
        <w:t xml:space="preserve">P </w:t>
      </w:r>
      <w:proofErr w:type="spellStart"/>
      <w:r w:rsidR="009A15A5">
        <w:rPr>
          <w:sz w:val="20"/>
          <w:szCs w:val="20"/>
        </w:rPr>
        <w:t>Colfox</w:t>
      </w:r>
      <w:proofErr w:type="spellEnd"/>
      <w:r w:rsidR="009A15A5">
        <w:rPr>
          <w:sz w:val="20"/>
          <w:szCs w:val="20"/>
        </w:rPr>
        <w:t xml:space="preserve"> </w:t>
      </w:r>
      <w:r w:rsidR="00204584">
        <w:rPr>
          <w:sz w:val="20"/>
          <w:szCs w:val="20"/>
        </w:rPr>
        <w:t xml:space="preserve">sent </w:t>
      </w:r>
      <w:r w:rsidR="00455568">
        <w:rPr>
          <w:sz w:val="20"/>
          <w:szCs w:val="20"/>
        </w:rPr>
        <w:t>their</w:t>
      </w:r>
      <w:r w:rsidR="00204584">
        <w:rPr>
          <w:sz w:val="20"/>
          <w:szCs w:val="20"/>
        </w:rPr>
        <w:t xml:space="preserve"> apologies.</w:t>
      </w:r>
    </w:p>
    <w:p w14:paraId="278C49B1" w14:textId="77777777" w:rsidR="00AE23AB" w:rsidRPr="00376DE5" w:rsidRDefault="00AE23AB" w:rsidP="00AE23AB">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3D9A01FB" w14:textId="35731165" w:rsidR="00FC6A16" w:rsidRDefault="00FA1566" w:rsidP="007D7D7C">
      <w:pPr>
        <w:spacing w:after="0" w:line="240" w:lineRule="auto"/>
        <w:rPr>
          <w:sz w:val="20"/>
          <w:szCs w:val="20"/>
        </w:rPr>
      </w:pPr>
      <w:r>
        <w:rPr>
          <w:sz w:val="20"/>
          <w:szCs w:val="20"/>
        </w:rPr>
        <w:t>Demo</w:t>
      </w:r>
      <w:r w:rsidR="00591F8B">
        <w:rPr>
          <w:sz w:val="20"/>
          <w:szCs w:val="20"/>
        </w:rPr>
        <w:t>c</w:t>
      </w:r>
      <w:r>
        <w:rPr>
          <w:sz w:val="20"/>
          <w:szCs w:val="20"/>
        </w:rPr>
        <w:t>ra</w:t>
      </w:r>
      <w:r w:rsidR="00591F8B">
        <w:rPr>
          <w:sz w:val="20"/>
          <w:szCs w:val="20"/>
        </w:rPr>
        <w:t>t</w:t>
      </w:r>
      <w:r>
        <w:rPr>
          <w:sz w:val="20"/>
          <w:szCs w:val="20"/>
        </w:rPr>
        <w:t xml:space="preserve">ic Half Hour: </w:t>
      </w:r>
      <w:r w:rsidR="00584677">
        <w:rPr>
          <w:sz w:val="20"/>
          <w:szCs w:val="20"/>
        </w:rPr>
        <w:t xml:space="preserve">Mr </w:t>
      </w:r>
      <w:r w:rsidR="007D7D7C">
        <w:rPr>
          <w:sz w:val="20"/>
          <w:szCs w:val="20"/>
        </w:rPr>
        <w:t xml:space="preserve">Rogers </w:t>
      </w:r>
      <w:r w:rsidR="00920F26">
        <w:rPr>
          <w:sz w:val="20"/>
          <w:szCs w:val="20"/>
        </w:rPr>
        <w:t xml:space="preserve">started by congratulating the Council on its proactive approach to </w:t>
      </w:r>
      <w:proofErr w:type="gramStart"/>
      <w:r w:rsidR="00920F26">
        <w:rPr>
          <w:sz w:val="20"/>
          <w:szCs w:val="20"/>
        </w:rPr>
        <w:t xml:space="preserve">managing  </w:t>
      </w:r>
      <w:r w:rsidR="006F349C">
        <w:rPr>
          <w:sz w:val="20"/>
          <w:szCs w:val="20"/>
        </w:rPr>
        <w:t>issues</w:t>
      </w:r>
      <w:proofErr w:type="gramEnd"/>
      <w:r w:rsidR="006F349C">
        <w:rPr>
          <w:sz w:val="20"/>
          <w:szCs w:val="20"/>
        </w:rPr>
        <w:t xml:space="preserve"> and topics</w:t>
      </w:r>
      <w:r w:rsidR="00920F26">
        <w:rPr>
          <w:sz w:val="20"/>
          <w:szCs w:val="20"/>
        </w:rPr>
        <w:t xml:space="preserve"> affecting the Parish. He went on to update the Council on the DMMO</w:t>
      </w:r>
      <w:r w:rsidR="004C7B7F">
        <w:rPr>
          <w:sz w:val="20"/>
          <w:szCs w:val="20"/>
        </w:rPr>
        <w:t>s in and around West Cliff</w:t>
      </w:r>
      <w:r w:rsidR="005A258A">
        <w:rPr>
          <w:sz w:val="20"/>
          <w:szCs w:val="20"/>
        </w:rPr>
        <w:t xml:space="preserve"> and his recent interactions with Dorset Council. Mr Rogers finished by commenting on the upcoming agenda item, regarding </w:t>
      </w:r>
      <w:proofErr w:type="spellStart"/>
      <w:r w:rsidR="005A258A">
        <w:rPr>
          <w:sz w:val="20"/>
          <w:szCs w:val="20"/>
        </w:rPr>
        <w:t>Eype</w:t>
      </w:r>
      <w:proofErr w:type="spellEnd"/>
      <w:r w:rsidR="005A258A">
        <w:rPr>
          <w:sz w:val="20"/>
          <w:szCs w:val="20"/>
        </w:rPr>
        <w:t xml:space="preserve"> Mouth facilities. He urged the Parish Council to review the current, unacceptable situation. Could Martin Cox help by allocating any toilet facilities to the </w:t>
      </w:r>
      <w:proofErr w:type="gramStart"/>
      <w:r w:rsidR="005A258A">
        <w:rPr>
          <w:sz w:val="20"/>
          <w:szCs w:val="20"/>
        </w:rPr>
        <w:t>general public</w:t>
      </w:r>
      <w:proofErr w:type="gramEnd"/>
      <w:r w:rsidR="005A258A">
        <w:rPr>
          <w:sz w:val="20"/>
          <w:szCs w:val="20"/>
        </w:rPr>
        <w:t xml:space="preserve"> when using the beach?</w:t>
      </w:r>
      <w:r w:rsidR="00920F26">
        <w:rPr>
          <w:sz w:val="20"/>
          <w:szCs w:val="20"/>
        </w:rPr>
        <w:t xml:space="preserve"> </w:t>
      </w:r>
    </w:p>
    <w:p w14:paraId="770545DB" w14:textId="77777777" w:rsidR="00F60E46" w:rsidRDefault="00F60E46" w:rsidP="00F60E46">
      <w:pPr>
        <w:spacing w:after="0" w:line="240" w:lineRule="auto"/>
        <w:rPr>
          <w:sz w:val="20"/>
          <w:szCs w:val="20"/>
        </w:rPr>
      </w:pPr>
    </w:p>
    <w:p w14:paraId="594DBE47" w14:textId="77777777" w:rsidR="00B1114C" w:rsidRPr="00B1114C" w:rsidRDefault="00FA1566" w:rsidP="00B1114C">
      <w:pPr>
        <w:spacing w:after="0" w:line="240" w:lineRule="auto"/>
        <w:rPr>
          <w:sz w:val="20"/>
          <w:szCs w:val="20"/>
        </w:rPr>
      </w:pPr>
      <w:r>
        <w:rPr>
          <w:sz w:val="20"/>
          <w:szCs w:val="20"/>
        </w:rPr>
        <w:t xml:space="preserve">The police report was noted: </w:t>
      </w:r>
      <w:r w:rsidR="00B1114C" w:rsidRPr="00B1114C">
        <w:rPr>
          <w:sz w:val="20"/>
          <w:szCs w:val="20"/>
        </w:rPr>
        <w:t xml:space="preserve">There was a break to an office on a farm in the </w:t>
      </w:r>
      <w:proofErr w:type="spellStart"/>
      <w:r w:rsidR="00B1114C" w:rsidRPr="00B1114C">
        <w:rPr>
          <w:sz w:val="20"/>
          <w:szCs w:val="20"/>
        </w:rPr>
        <w:t>Broadoak</w:t>
      </w:r>
      <w:proofErr w:type="spellEnd"/>
      <w:r w:rsidR="00B1114C" w:rsidRPr="00B1114C">
        <w:rPr>
          <w:sz w:val="20"/>
          <w:szCs w:val="20"/>
        </w:rPr>
        <w:t xml:space="preserve"> area, in the early hours of 21</w:t>
      </w:r>
      <w:r w:rsidR="00B1114C" w:rsidRPr="00B1114C">
        <w:rPr>
          <w:sz w:val="20"/>
          <w:szCs w:val="20"/>
          <w:vertAlign w:val="superscript"/>
        </w:rPr>
        <w:t>st</w:t>
      </w:r>
      <w:r w:rsidR="00B1114C" w:rsidRPr="00B1114C">
        <w:rPr>
          <w:sz w:val="20"/>
          <w:szCs w:val="20"/>
        </w:rPr>
        <w:t xml:space="preserve"> January.  If anyone has any information, please contact </w:t>
      </w:r>
      <w:proofErr w:type="gramStart"/>
      <w:r w:rsidR="00B1114C" w:rsidRPr="00B1114C">
        <w:rPr>
          <w:sz w:val="20"/>
          <w:szCs w:val="20"/>
        </w:rPr>
        <w:t>us</w:t>
      </w:r>
      <w:proofErr w:type="gramEnd"/>
      <w:r w:rsidR="00B1114C" w:rsidRPr="00B1114C">
        <w:rPr>
          <w:sz w:val="20"/>
          <w:szCs w:val="20"/>
        </w:rPr>
        <w:t xml:space="preserve"> and use reference number 55240010636.  Please also be vigilant and report any suspicious activity to us, at the time, on 101.  If you believe a crime is in progress, call 999.</w:t>
      </w:r>
    </w:p>
    <w:p w14:paraId="34637156" w14:textId="04A2AEAB" w:rsidR="00B1114C" w:rsidRPr="00B1114C" w:rsidRDefault="00B1114C" w:rsidP="00B1114C">
      <w:pPr>
        <w:spacing w:after="0" w:line="240" w:lineRule="auto"/>
        <w:rPr>
          <w:sz w:val="20"/>
          <w:szCs w:val="20"/>
        </w:rPr>
      </w:pPr>
      <w:r w:rsidRPr="00B1114C">
        <w:rPr>
          <w:sz w:val="20"/>
          <w:szCs w:val="20"/>
        </w:rPr>
        <w:t>There has been a slight rise in thefts from or break to outbuildings recently, though this is still low.</w:t>
      </w:r>
    </w:p>
    <w:p w14:paraId="1251DF7F" w14:textId="77777777" w:rsidR="00B1114C" w:rsidRDefault="00B1114C" w:rsidP="00B1114C">
      <w:pPr>
        <w:spacing w:after="0" w:line="240" w:lineRule="auto"/>
        <w:rPr>
          <w:b/>
          <w:sz w:val="20"/>
          <w:szCs w:val="20"/>
        </w:rPr>
      </w:pPr>
    </w:p>
    <w:p w14:paraId="026F452A" w14:textId="224A2A9F" w:rsidR="00FB1F4B" w:rsidRDefault="00FB1F4B" w:rsidP="00B1114C">
      <w:pPr>
        <w:spacing w:after="0" w:line="240" w:lineRule="auto"/>
        <w:rPr>
          <w:sz w:val="20"/>
          <w:szCs w:val="20"/>
        </w:rPr>
      </w:pPr>
      <w:r>
        <w:rPr>
          <w:b/>
          <w:sz w:val="20"/>
          <w:szCs w:val="20"/>
        </w:rPr>
        <w:t xml:space="preserve">0002 Disclosures of Interests and Dispensations: </w:t>
      </w:r>
      <w:r w:rsidRPr="00AE07AB">
        <w:rPr>
          <w:sz w:val="20"/>
          <w:szCs w:val="20"/>
        </w:rPr>
        <w:t xml:space="preserve">To </w:t>
      </w:r>
      <w:r w:rsidRPr="00AE07AB">
        <w:rPr>
          <w:b/>
          <w:sz w:val="20"/>
          <w:szCs w:val="20"/>
        </w:rPr>
        <w:t xml:space="preserve">receive </w:t>
      </w:r>
      <w:r>
        <w:rPr>
          <w:sz w:val="20"/>
          <w:szCs w:val="20"/>
        </w:rPr>
        <w:t>disclosures of personal and prejudicial i</w:t>
      </w:r>
      <w:r w:rsidRPr="00AE07AB">
        <w:rPr>
          <w:sz w:val="20"/>
          <w:szCs w:val="20"/>
        </w:rPr>
        <w:t>nteres</w:t>
      </w:r>
      <w:r>
        <w:rPr>
          <w:sz w:val="20"/>
          <w:szCs w:val="20"/>
        </w:rPr>
        <w:t>t from Councillors and employees on matters to be considered at the meeting</w:t>
      </w:r>
      <w:r>
        <w:rPr>
          <w:b/>
          <w:sz w:val="20"/>
          <w:szCs w:val="20"/>
        </w:rPr>
        <w:t xml:space="preserve">: </w:t>
      </w:r>
      <w:r>
        <w:rPr>
          <w:sz w:val="20"/>
          <w:szCs w:val="20"/>
        </w:rPr>
        <w:t xml:space="preserve"> </w:t>
      </w:r>
      <w:r w:rsidR="008F622F">
        <w:rPr>
          <w:sz w:val="20"/>
          <w:szCs w:val="20"/>
        </w:rPr>
        <w:t>None declared.</w:t>
      </w:r>
    </w:p>
    <w:p w14:paraId="5ED1704B" w14:textId="77777777" w:rsidR="00B1114C" w:rsidRDefault="00B1114C" w:rsidP="00B1114C">
      <w:pPr>
        <w:spacing w:after="0" w:line="240" w:lineRule="auto"/>
        <w:rPr>
          <w:sz w:val="20"/>
          <w:szCs w:val="20"/>
        </w:rPr>
      </w:pPr>
    </w:p>
    <w:p w14:paraId="7EAE7C34" w14:textId="115AEE60" w:rsidR="00034740" w:rsidRPr="00A513BA" w:rsidRDefault="00447AF4" w:rsidP="00B73561">
      <w:pPr>
        <w:spacing w:after="0" w:line="240" w:lineRule="auto"/>
        <w:rPr>
          <w:rFonts w:eastAsiaTheme="minorEastAsia" w:cstheme="minorHAnsi"/>
          <w:sz w:val="20"/>
          <w:szCs w:val="20"/>
          <w:shd w:val="clear" w:color="auto" w:fill="FFFFFF"/>
        </w:rPr>
      </w:pPr>
      <w:r>
        <w:rPr>
          <w:b/>
          <w:sz w:val="20"/>
          <w:szCs w:val="20"/>
        </w:rPr>
        <w:t xml:space="preserve">0003: </w:t>
      </w:r>
      <w:r w:rsidRPr="00447AF4">
        <w:rPr>
          <w:b/>
          <w:sz w:val="20"/>
          <w:szCs w:val="20"/>
        </w:rPr>
        <w:t xml:space="preserve">To approve the Minutes of the meeting held on </w:t>
      </w:r>
      <w:r w:rsidR="008E2714">
        <w:rPr>
          <w:b/>
          <w:sz w:val="20"/>
          <w:szCs w:val="20"/>
        </w:rPr>
        <w:t>1</w:t>
      </w:r>
      <w:r w:rsidR="00B1114C">
        <w:rPr>
          <w:b/>
          <w:sz w:val="20"/>
          <w:szCs w:val="20"/>
        </w:rPr>
        <w:t>1 January</w:t>
      </w:r>
      <w:r w:rsidRPr="00447AF4">
        <w:rPr>
          <w:b/>
          <w:sz w:val="20"/>
          <w:szCs w:val="20"/>
        </w:rPr>
        <w:t xml:space="preserve"> 202</w:t>
      </w:r>
      <w:r w:rsidR="00B1114C">
        <w:rPr>
          <w:b/>
          <w:sz w:val="20"/>
          <w:szCs w:val="20"/>
        </w:rPr>
        <w:t>4</w:t>
      </w:r>
      <w:r w:rsidRPr="00FB1F4B">
        <w:rPr>
          <w:bCs/>
          <w:sz w:val="20"/>
          <w:szCs w:val="20"/>
        </w:rPr>
        <w:t>:  The</w:t>
      </w:r>
      <w:r w:rsidR="004F54CA">
        <w:rPr>
          <w:bCs/>
          <w:sz w:val="20"/>
          <w:szCs w:val="20"/>
        </w:rPr>
        <w:t xml:space="preserve"> minutes were approved</w:t>
      </w:r>
      <w:r w:rsidR="00D57B28">
        <w:rPr>
          <w:bCs/>
          <w:sz w:val="20"/>
          <w:szCs w:val="20"/>
        </w:rPr>
        <w:t>.</w:t>
      </w:r>
    </w:p>
    <w:p w14:paraId="2BAF594E" w14:textId="77777777" w:rsidR="00A528CB" w:rsidRDefault="00A528CB" w:rsidP="00B73561">
      <w:pPr>
        <w:spacing w:after="0" w:line="240" w:lineRule="auto"/>
        <w:rPr>
          <w:bCs/>
          <w:sz w:val="20"/>
          <w:szCs w:val="20"/>
        </w:rPr>
      </w:pPr>
    </w:p>
    <w:p w14:paraId="093B9F8D" w14:textId="77777777" w:rsidR="00B1114C" w:rsidRPr="00B1114C" w:rsidRDefault="009F5AEA" w:rsidP="00B1114C">
      <w:pPr>
        <w:spacing w:after="0" w:line="240" w:lineRule="auto"/>
        <w:rPr>
          <w:sz w:val="20"/>
          <w:szCs w:val="20"/>
        </w:rPr>
      </w:pPr>
      <w:r>
        <w:rPr>
          <w:b/>
          <w:bCs/>
          <w:sz w:val="20"/>
          <w:szCs w:val="20"/>
        </w:rPr>
        <w:t>000</w:t>
      </w:r>
      <w:r w:rsidR="00FB1F4B">
        <w:rPr>
          <w:b/>
          <w:bCs/>
          <w:sz w:val="20"/>
          <w:szCs w:val="20"/>
        </w:rPr>
        <w:t>4</w:t>
      </w:r>
      <w:r>
        <w:rPr>
          <w:b/>
          <w:bCs/>
          <w:sz w:val="20"/>
          <w:szCs w:val="20"/>
        </w:rPr>
        <w:t xml:space="preserve">: </w:t>
      </w:r>
      <w:r w:rsidR="006E18BD" w:rsidRPr="000A2305">
        <w:rPr>
          <w:b/>
          <w:bCs/>
          <w:sz w:val="20"/>
          <w:szCs w:val="20"/>
        </w:rPr>
        <w:t>To</w:t>
      </w:r>
      <w:r w:rsidR="00B73561">
        <w:rPr>
          <w:sz w:val="20"/>
          <w:szCs w:val="20"/>
        </w:rPr>
        <w:t xml:space="preserve"> </w:t>
      </w:r>
      <w:r w:rsidR="006E18BD">
        <w:rPr>
          <w:b/>
          <w:sz w:val="20"/>
          <w:szCs w:val="20"/>
        </w:rPr>
        <w:t xml:space="preserve">resolve </w:t>
      </w:r>
      <w:r w:rsidR="006E18BD">
        <w:rPr>
          <w:sz w:val="20"/>
          <w:szCs w:val="20"/>
        </w:rPr>
        <w:t xml:space="preserve">payments and receipts for </w:t>
      </w:r>
      <w:r w:rsidR="00B1114C">
        <w:rPr>
          <w:sz w:val="20"/>
          <w:szCs w:val="20"/>
        </w:rPr>
        <w:t>January 2024</w:t>
      </w:r>
      <w:r w:rsidR="0050034A">
        <w:rPr>
          <w:sz w:val="20"/>
          <w:szCs w:val="20"/>
        </w:rPr>
        <w:t xml:space="preserve">: </w:t>
      </w:r>
      <w:r w:rsidR="00B1114C" w:rsidRPr="00B1114C">
        <w:rPr>
          <w:sz w:val="20"/>
          <w:szCs w:val="20"/>
        </w:rPr>
        <w:t xml:space="preserve">a) Clerk’s salary, b) Payroll charges; c) Life Education Wessex &amp;Thames </w:t>
      </w:r>
      <w:proofErr w:type="gramStart"/>
      <w:r w:rsidR="00B1114C" w:rsidRPr="00B1114C">
        <w:rPr>
          <w:sz w:val="20"/>
          <w:szCs w:val="20"/>
        </w:rPr>
        <w:t>Valley;</w:t>
      </w:r>
      <w:proofErr w:type="gramEnd"/>
      <w:r w:rsidR="00B1114C" w:rsidRPr="00B1114C">
        <w:rPr>
          <w:sz w:val="20"/>
          <w:szCs w:val="20"/>
        </w:rPr>
        <w:t xml:space="preserve"> </w:t>
      </w:r>
    </w:p>
    <w:p w14:paraId="4F64A0B0" w14:textId="21AC55CA" w:rsidR="00B1114C" w:rsidRPr="00B1114C" w:rsidRDefault="00B1114C" w:rsidP="00B1114C">
      <w:pPr>
        <w:spacing w:after="0" w:line="240" w:lineRule="auto"/>
        <w:rPr>
          <w:sz w:val="20"/>
          <w:szCs w:val="20"/>
        </w:rPr>
      </w:pPr>
      <w:r w:rsidRPr="00B1114C">
        <w:rPr>
          <w:sz w:val="20"/>
          <w:szCs w:val="20"/>
        </w:rPr>
        <w:t xml:space="preserve">To </w:t>
      </w:r>
      <w:r w:rsidRPr="00B1114C">
        <w:rPr>
          <w:b/>
          <w:sz w:val="20"/>
          <w:szCs w:val="20"/>
        </w:rPr>
        <w:t xml:space="preserve">update </w:t>
      </w:r>
      <w:r w:rsidRPr="00B1114C">
        <w:rPr>
          <w:bCs/>
          <w:sz w:val="20"/>
          <w:szCs w:val="20"/>
        </w:rPr>
        <w:t>on</w:t>
      </w:r>
      <w:r w:rsidRPr="00B1114C">
        <w:rPr>
          <w:sz w:val="20"/>
          <w:szCs w:val="20"/>
        </w:rPr>
        <w:t xml:space="preserve"> online banking: Current account £3108.86; Savings £26, 561.60</w:t>
      </w:r>
    </w:p>
    <w:p w14:paraId="0A498CB1" w14:textId="0289DF33" w:rsidR="00540221" w:rsidRDefault="00540221" w:rsidP="00B73561">
      <w:pPr>
        <w:spacing w:after="0" w:line="240" w:lineRule="auto"/>
        <w:rPr>
          <w:sz w:val="20"/>
          <w:szCs w:val="20"/>
        </w:rPr>
      </w:pPr>
      <w:r>
        <w:rPr>
          <w:sz w:val="20"/>
          <w:szCs w:val="20"/>
        </w:rPr>
        <w:t xml:space="preserve">A request had come in from Life Education, a charity supplying lessons into Primary Schools, for £155 to cover the shortfall for a session to be delivered at Symondsbury School. The request was approved by Cllr Streatfeild and seconded by Cllr </w:t>
      </w:r>
      <w:proofErr w:type="spellStart"/>
      <w:r>
        <w:rPr>
          <w:sz w:val="20"/>
          <w:szCs w:val="20"/>
        </w:rPr>
        <w:t>Colfox</w:t>
      </w:r>
      <w:proofErr w:type="spellEnd"/>
      <w:r w:rsidR="00B1114C">
        <w:rPr>
          <w:sz w:val="20"/>
          <w:szCs w:val="20"/>
        </w:rPr>
        <w:t xml:space="preserve"> at the January meeting</w:t>
      </w:r>
      <w:r>
        <w:rPr>
          <w:sz w:val="20"/>
          <w:szCs w:val="20"/>
        </w:rPr>
        <w:t xml:space="preserve"> on the understanding that the Clerk would follow up with the Head, Emma Roberts, to confirm that this would be value for money. </w:t>
      </w:r>
      <w:r w:rsidR="00B1114C">
        <w:rPr>
          <w:sz w:val="20"/>
          <w:szCs w:val="20"/>
        </w:rPr>
        <w:t xml:space="preserve"> The Clerk spoke to the Head and the invoice was duly presented for </w:t>
      </w:r>
      <w:r w:rsidR="00522973">
        <w:rPr>
          <w:sz w:val="20"/>
          <w:szCs w:val="20"/>
        </w:rPr>
        <w:t>approval</w:t>
      </w:r>
      <w:r w:rsidR="00B1114C">
        <w:rPr>
          <w:sz w:val="20"/>
          <w:szCs w:val="20"/>
        </w:rPr>
        <w:t xml:space="preserve"> at this meeting</w:t>
      </w:r>
      <w:r w:rsidR="00522973">
        <w:rPr>
          <w:sz w:val="20"/>
          <w:szCs w:val="20"/>
        </w:rPr>
        <w:t>.</w:t>
      </w:r>
    </w:p>
    <w:p w14:paraId="27668272" w14:textId="77777777" w:rsidR="00A528CB" w:rsidRDefault="00A528CB" w:rsidP="00B73561">
      <w:pPr>
        <w:spacing w:after="0" w:line="240" w:lineRule="auto"/>
        <w:rPr>
          <w:rFonts w:cs="Open Sans"/>
          <w:b/>
          <w:sz w:val="20"/>
          <w:szCs w:val="20"/>
          <w:shd w:val="clear" w:color="auto" w:fill="FFFFFF"/>
        </w:rPr>
      </w:pPr>
    </w:p>
    <w:p w14:paraId="3AAB8249" w14:textId="37DFFFD6" w:rsidR="007720C2" w:rsidRDefault="00FB1F4B" w:rsidP="00B73561">
      <w:pPr>
        <w:spacing w:after="0" w:line="240" w:lineRule="auto"/>
        <w:rPr>
          <w:rFonts w:eastAsiaTheme="minorEastAsia"/>
          <w:b/>
          <w:bCs/>
        </w:rPr>
      </w:pPr>
      <w:r w:rsidRPr="00D57B28">
        <w:rPr>
          <w:rFonts w:cs="Open Sans"/>
          <w:b/>
          <w:sz w:val="20"/>
          <w:szCs w:val="20"/>
          <w:shd w:val="clear" w:color="auto" w:fill="FFFFFF"/>
        </w:rPr>
        <w:t>0005:</w:t>
      </w:r>
      <w:r w:rsidR="00DD47BC" w:rsidRPr="00D57B28">
        <w:rPr>
          <w:bCs/>
          <w:sz w:val="20"/>
          <w:szCs w:val="20"/>
        </w:rPr>
        <w:t xml:space="preserve"> </w:t>
      </w:r>
      <w:r w:rsidR="005A79A4" w:rsidRPr="00D57B28">
        <w:rPr>
          <w:rFonts w:eastAsiaTheme="minorEastAsia" w:cstheme="minorHAnsi"/>
          <w:b/>
          <w:bCs/>
          <w:sz w:val="20"/>
          <w:szCs w:val="20"/>
        </w:rPr>
        <w:t>Planning matters</w:t>
      </w:r>
      <w:r w:rsidR="005A79A4" w:rsidRPr="00D57B28">
        <w:rPr>
          <w:rFonts w:eastAsiaTheme="minorEastAsia"/>
          <w:b/>
          <w:bCs/>
        </w:rPr>
        <w:t>:</w:t>
      </w:r>
    </w:p>
    <w:p w14:paraId="156A4EA5" w14:textId="77777777" w:rsidR="006F349C" w:rsidRPr="006F349C" w:rsidRDefault="006F349C" w:rsidP="006F349C">
      <w:pPr>
        <w:pStyle w:val="ListParagraph"/>
        <w:numPr>
          <w:ilvl w:val="0"/>
          <w:numId w:val="10"/>
        </w:numPr>
        <w:spacing w:after="0" w:line="240" w:lineRule="auto"/>
        <w:rPr>
          <w:rFonts w:cstheme="minorHAnsi"/>
          <w:b/>
          <w:bCs/>
          <w:color w:val="000000"/>
          <w:sz w:val="20"/>
          <w:szCs w:val="20"/>
          <w:shd w:val="clear" w:color="auto" w:fill="FFFFFF"/>
        </w:rPr>
      </w:pPr>
      <w:r w:rsidRPr="006F349C">
        <w:rPr>
          <w:rFonts w:cstheme="minorHAnsi"/>
          <w:color w:val="000000"/>
          <w:sz w:val="20"/>
          <w:szCs w:val="20"/>
          <w:shd w:val="clear" w:color="auto" w:fill="FFFFFF"/>
        </w:rPr>
        <w:t>P/FUL/2024/00314 Proposed additional camping pitches and 2 shepherds huts. Location: Old Bidlake Farm Campsite</w:t>
      </w:r>
      <w:r>
        <w:rPr>
          <w:rFonts w:cstheme="minorHAnsi"/>
          <w:color w:val="000000"/>
          <w:sz w:val="20"/>
          <w:szCs w:val="20"/>
          <w:shd w:val="clear" w:color="auto" w:fill="FFFFFF"/>
        </w:rPr>
        <w:t xml:space="preserve">. </w:t>
      </w:r>
      <w:r w:rsidRPr="006F349C">
        <w:rPr>
          <w:rFonts w:cstheme="minorHAnsi"/>
          <w:color w:val="000000"/>
          <w:sz w:val="20"/>
          <w:szCs w:val="20"/>
          <w:shd w:val="clear" w:color="auto" w:fill="FFFFFF"/>
        </w:rPr>
        <w:t>The Committee briefly discussed the proposal and agreed with the planning comment. The increase was felt to be in keeping especially as the facilities for the camping were already in place.</w:t>
      </w:r>
    </w:p>
    <w:p w14:paraId="2A57BB67" w14:textId="77777777" w:rsidR="006F349C" w:rsidRPr="006F349C" w:rsidRDefault="006F349C" w:rsidP="006F349C">
      <w:pPr>
        <w:pStyle w:val="ListParagraph"/>
        <w:spacing w:after="0" w:line="240" w:lineRule="auto"/>
        <w:rPr>
          <w:rFonts w:cstheme="minorHAnsi"/>
          <w:color w:val="000000"/>
          <w:sz w:val="20"/>
          <w:szCs w:val="20"/>
          <w:shd w:val="clear" w:color="auto" w:fill="FFFFFF"/>
        </w:rPr>
      </w:pPr>
      <w:r w:rsidRPr="006F349C">
        <w:rPr>
          <w:rFonts w:cstheme="minorHAnsi"/>
          <w:b/>
          <w:bCs/>
          <w:color w:val="000000"/>
          <w:sz w:val="20"/>
          <w:szCs w:val="20"/>
          <w:shd w:val="clear" w:color="auto" w:fill="FFFFFF"/>
        </w:rPr>
        <w:t>Conclusion:</w:t>
      </w:r>
      <w:r w:rsidRPr="006F349C">
        <w:rPr>
          <w:rFonts w:cstheme="minorHAnsi"/>
          <w:color w:val="000000"/>
          <w:sz w:val="20"/>
          <w:szCs w:val="20"/>
          <w:shd w:val="clear" w:color="auto" w:fill="FFFFFF"/>
        </w:rPr>
        <w:t xml:space="preserve"> The Committee felt the proposals were acceptable and voted unanimously to approve.</w:t>
      </w:r>
    </w:p>
    <w:p w14:paraId="13B6A11A" w14:textId="073100E8" w:rsidR="006F349C" w:rsidRPr="006F349C" w:rsidRDefault="006F349C" w:rsidP="006F349C">
      <w:pPr>
        <w:pStyle w:val="ListParagraph"/>
        <w:spacing w:after="0" w:line="240" w:lineRule="auto"/>
        <w:rPr>
          <w:rFonts w:cstheme="minorHAnsi"/>
          <w:color w:val="000000"/>
          <w:sz w:val="20"/>
          <w:szCs w:val="20"/>
          <w:shd w:val="clear" w:color="auto" w:fill="FFFFFF"/>
        </w:rPr>
      </w:pPr>
      <w:r w:rsidRPr="006F349C">
        <w:rPr>
          <w:rFonts w:cstheme="minorHAnsi"/>
          <w:b/>
          <w:bCs/>
          <w:color w:val="000000"/>
          <w:sz w:val="20"/>
          <w:szCs w:val="20"/>
          <w:shd w:val="clear" w:color="auto" w:fill="FFFFFF"/>
        </w:rPr>
        <w:t xml:space="preserve">Decision: </w:t>
      </w:r>
      <w:r w:rsidRPr="006F349C">
        <w:rPr>
          <w:rFonts w:cstheme="minorHAnsi"/>
          <w:color w:val="000000"/>
          <w:sz w:val="20"/>
          <w:szCs w:val="20"/>
          <w:shd w:val="clear" w:color="auto" w:fill="FFFFFF"/>
        </w:rPr>
        <w:t>Support.</w:t>
      </w:r>
    </w:p>
    <w:p w14:paraId="7BF03766" w14:textId="77777777" w:rsidR="006F349C" w:rsidRPr="006F349C" w:rsidRDefault="006F349C" w:rsidP="006F349C">
      <w:pPr>
        <w:pStyle w:val="ListParagraph"/>
        <w:numPr>
          <w:ilvl w:val="0"/>
          <w:numId w:val="10"/>
        </w:numPr>
        <w:spacing w:after="0" w:line="240" w:lineRule="auto"/>
        <w:rPr>
          <w:rFonts w:cstheme="minorHAnsi"/>
          <w:b/>
          <w:bCs/>
          <w:color w:val="000000"/>
          <w:sz w:val="20"/>
          <w:szCs w:val="20"/>
          <w:shd w:val="clear" w:color="auto" w:fill="FFFFFF"/>
        </w:rPr>
      </w:pPr>
      <w:r w:rsidRPr="006F349C">
        <w:rPr>
          <w:rFonts w:cstheme="minorHAnsi"/>
          <w:color w:val="000000"/>
          <w:sz w:val="20"/>
          <w:szCs w:val="20"/>
          <w:shd w:val="clear" w:color="auto" w:fill="FFFFFF"/>
        </w:rPr>
        <w:t>P/FUL/2024/00367 Demolition of existing and erection of replacement dwelling. Location: 20 West Walk West Bay Dorset DT6 4HT The Committee briefly discussed the proposal and agreed with the planning comment. It agreed the small concerns regarding the effects of demolition and construction on the existing garden plants and fauna as well as neighbouring properties requires more detailed consideration.  It was felt that more could be done to improve the biodiversity of the site in the new proposals. The improved sustainability was recognised.</w:t>
      </w:r>
    </w:p>
    <w:p w14:paraId="498A3233" w14:textId="77777777" w:rsidR="006F349C" w:rsidRPr="006F349C" w:rsidRDefault="006F349C" w:rsidP="006F349C">
      <w:pPr>
        <w:pStyle w:val="ListParagraph"/>
        <w:spacing w:after="0" w:line="240" w:lineRule="auto"/>
        <w:ind w:left="714"/>
        <w:rPr>
          <w:rFonts w:cstheme="minorHAnsi"/>
          <w:color w:val="000000"/>
          <w:sz w:val="20"/>
          <w:szCs w:val="20"/>
          <w:shd w:val="clear" w:color="auto" w:fill="FFFFFF"/>
        </w:rPr>
      </w:pPr>
      <w:r w:rsidRPr="006F349C">
        <w:rPr>
          <w:rFonts w:cstheme="minorHAnsi"/>
          <w:b/>
          <w:bCs/>
          <w:color w:val="000000"/>
          <w:sz w:val="20"/>
          <w:szCs w:val="20"/>
          <w:shd w:val="clear" w:color="auto" w:fill="FFFFFF"/>
        </w:rPr>
        <w:t>Conclusion:</w:t>
      </w:r>
      <w:r w:rsidRPr="006F349C">
        <w:rPr>
          <w:rFonts w:cstheme="minorHAnsi"/>
          <w:color w:val="000000"/>
          <w:sz w:val="20"/>
          <w:szCs w:val="20"/>
          <w:shd w:val="clear" w:color="auto" w:fill="FFFFFF"/>
        </w:rPr>
        <w:t xml:space="preserve"> The Committee felt the proposals were acceptable.</w:t>
      </w:r>
    </w:p>
    <w:p w14:paraId="604F1818" w14:textId="731525E7" w:rsidR="006F349C" w:rsidRPr="006F349C" w:rsidRDefault="006F349C" w:rsidP="006F349C">
      <w:pPr>
        <w:pStyle w:val="ListParagraph"/>
        <w:spacing w:after="0" w:line="240" w:lineRule="auto"/>
        <w:ind w:left="714"/>
        <w:rPr>
          <w:rFonts w:cstheme="minorHAnsi"/>
          <w:color w:val="000000"/>
          <w:sz w:val="20"/>
          <w:szCs w:val="20"/>
          <w:shd w:val="clear" w:color="auto" w:fill="FFFFFF"/>
        </w:rPr>
      </w:pPr>
      <w:r w:rsidRPr="006F349C">
        <w:rPr>
          <w:rFonts w:cstheme="minorHAnsi"/>
          <w:b/>
          <w:bCs/>
          <w:color w:val="000000"/>
          <w:sz w:val="20"/>
          <w:szCs w:val="20"/>
          <w:shd w:val="clear" w:color="auto" w:fill="FFFFFF"/>
        </w:rPr>
        <w:lastRenderedPageBreak/>
        <w:t xml:space="preserve">Decision: </w:t>
      </w:r>
      <w:r w:rsidRPr="006F349C">
        <w:rPr>
          <w:rFonts w:cstheme="minorHAnsi"/>
          <w:color w:val="000000"/>
          <w:sz w:val="20"/>
          <w:szCs w:val="20"/>
          <w:shd w:val="clear" w:color="auto" w:fill="FFFFFF"/>
        </w:rPr>
        <w:t>Support.</w:t>
      </w:r>
    </w:p>
    <w:p w14:paraId="43FE8CD2" w14:textId="5424ED1B" w:rsidR="00663985" w:rsidRPr="006F349C" w:rsidRDefault="00663985" w:rsidP="006F349C">
      <w:pPr>
        <w:pStyle w:val="ListParagraph"/>
        <w:numPr>
          <w:ilvl w:val="0"/>
          <w:numId w:val="10"/>
        </w:numPr>
        <w:spacing w:after="0" w:line="240" w:lineRule="auto"/>
        <w:rPr>
          <w:rFonts w:cstheme="minorHAnsi"/>
          <w:color w:val="000000"/>
          <w:sz w:val="20"/>
          <w:szCs w:val="20"/>
          <w:shd w:val="clear" w:color="auto" w:fill="FFFFFF"/>
        </w:rPr>
      </w:pPr>
      <w:r w:rsidRPr="006F349C">
        <w:rPr>
          <w:rFonts w:cstheme="minorHAnsi"/>
          <w:color w:val="000000"/>
          <w:sz w:val="20"/>
          <w:szCs w:val="20"/>
          <w:shd w:val="clear" w:color="auto" w:fill="FFFFFF"/>
        </w:rPr>
        <w:t xml:space="preserve">Tuckers Cottage </w:t>
      </w:r>
      <w:r w:rsidR="00945073" w:rsidRPr="006F349C">
        <w:rPr>
          <w:rFonts w:cstheme="minorHAnsi"/>
          <w:color w:val="000000"/>
          <w:sz w:val="20"/>
          <w:szCs w:val="20"/>
          <w:shd w:val="clear" w:color="auto" w:fill="FFFFFF"/>
        </w:rPr>
        <w:t xml:space="preserve">was discussed </w:t>
      </w:r>
      <w:r w:rsidR="006F349C" w:rsidRPr="006F349C">
        <w:rPr>
          <w:rFonts w:cstheme="minorHAnsi"/>
          <w:color w:val="000000"/>
          <w:sz w:val="20"/>
          <w:szCs w:val="20"/>
          <w:shd w:val="clear" w:color="auto" w:fill="FFFFFF"/>
        </w:rPr>
        <w:t xml:space="preserve">again </w:t>
      </w:r>
      <w:r w:rsidR="00945073" w:rsidRPr="006F349C">
        <w:rPr>
          <w:rFonts w:cstheme="minorHAnsi"/>
          <w:color w:val="000000"/>
          <w:sz w:val="20"/>
          <w:szCs w:val="20"/>
          <w:shd w:val="clear" w:color="auto" w:fill="FFFFFF"/>
        </w:rPr>
        <w:t>briefly</w:t>
      </w:r>
      <w:r w:rsidR="00BE6EA6" w:rsidRPr="006F349C">
        <w:rPr>
          <w:rFonts w:cstheme="minorHAnsi"/>
          <w:color w:val="000000"/>
          <w:sz w:val="20"/>
          <w:szCs w:val="20"/>
          <w:shd w:val="clear" w:color="auto" w:fill="FFFFFF"/>
        </w:rPr>
        <w:t>. Cllr Hartmann would prepare a</w:t>
      </w:r>
      <w:r w:rsidR="006F349C" w:rsidRPr="006F349C">
        <w:rPr>
          <w:rFonts w:cstheme="minorHAnsi"/>
          <w:color w:val="000000"/>
          <w:sz w:val="20"/>
          <w:szCs w:val="20"/>
          <w:shd w:val="clear" w:color="auto" w:fill="FFFFFF"/>
        </w:rPr>
        <w:t xml:space="preserve"> follow up </w:t>
      </w:r>
      <w:r w:rsidR="00BE6EA6" w:rsidRPr="006F349C">
        <w:rPr>
          <w:rFonts w:cstheme="minorHAnsi"/>
          <w:color w:val="000000"/>
          <w:sz w:val="20"/>
          <w:szCs w:val="20"/>
          <w:shd w:val="clear" w:color="auto" w:fill="FFFFFF"/>
        </w:rPr>
        <w:t xml:space="preserve">email to Dorset Planning to </w:t>
      </w:r>
      <w:r w:rsidR="006F349C" w:rsidRPr="006F349C">
        <w:rPr>
          <w:rFonts w:cstheme="minorHAnsi"/>
          <w:color w:val="000000"/>
          <w:sz w:val="20"/>
          <w:szCs w:val="20"/>
          <w:shd w:val="clear" w:color="auto" w:fill="FFFFFF"/>
        </w:rPr>
        <w:t xml:space="preserve">better </w:t>
      </w:r>
      <w:r w:rsidR="00BE6EA6" w:rsidRPr="006F349C">
        <w:rPr>
          <w:rFonts w:cstheme="minorHAnsi"/>
          <w:color w:val="000000"/>
          <w:sz w:val="20"/>
          <w:szCs w:val="20"/>
          <w:shd w:val="clear" w:color="auto" w:fill="FFFFFF"/>
        </w:rPr>
        <w:t>understand the latest position.</w:t>
      </w:r>
      <w:r w:rsidR="00945073" w:rsidRPr="006F349C">
        <w:rPr>
          <w:rFonts w:cstheme="minorHAnsi"/>
          <w:color w:val="000000"/>
          <w:sz w:val="20"/>
          <w:szCs w:val="20"/>
          <w:shd w:val="clear" w:color="auto" w:fill="FFFFFF"/>
        </w:rPr>
        <w:t xml:space="preserve"> </w:t>
      </w:r>
    </w:p>
    <w:p w14:paraId="5A1C2364" w14:textId="77777777" w:rsidR="00663985" w:rsidRPr="00D57B28" w:rsidRDefault="00663985" w:rsidP="00FB57D8">
      <w:pPr>
        <w:spacing w:after="0" w:line="240" w:lineRule="auto"/>
        <w:rPr>
          <w:rFonts w:eastAsiaTheme="minorEastAsia" w:cstheme="minorHAnsi"/>
          <w:color w:val="000000"/>
          <w:sz w:val="20"/>
          <w:szCs w:val="20"/>
          <w:shd w:val="clear" w:color="auto" w:fill="FFFFFF"/>
        </w:rPr>
      </w:pPr>
    </w:p>
    <w:p w14:paraId="30EE9B57" w14:textId="0ACC166E" w:rsidR="00DF6126" w:rsidRDefault="00D658D1" w:rsidP="00FB57D8">
      <w:pPr>
        <w:spacing w:after="0"/>
        <w:rPr>
          <w:sz w:val="20"/>
          <w:szCs w:val="20"/>
        </w:rPr>
      </w:pPr>
      <w:r w:rsidRPr="00D658D1">
        <w:rPr>
          <w:rFonts w:cs="Open Sans"/>
          <w:b/>
          <w:sz w:val="20"/>
          <w:szCs w:val="20"/>
          <w:shd w:val="clear" w:color="auto" w:fill="FFFFFF"/>
        </w:rPr>
        <w:t>0006:</w:t>
      </w:r>
      <w:r w:rsidRPr="00D658D1">
        <w:rPr>
          <w:rFonts w:cs="Open Sans"/>
          <w:bCs/>
          <w:sz w:val="20"/>
          <w:szCs w:val="20"/>
          <w:shd w:val="clear" w:color="auto" w:fill="FFFFFF"/>
        </w:rPr>
        <w:t xml:space="preserve"> </w:t>
      </w:r>
      <w:r w:rsidR="00825576">
        <w:rPr>
          <w:bCs/>
          <w:sz w:val="20"/>
          <w:szCs w:val="20"/>
        </w:rPr>
        <w:t xml:space="preserve"> </w:t>
      </w:r>
      <w:proofErr w:type="spellStart"/>
      <w:r w:rsidR="005A258A" w:rsidRPr="00083A03">
        <w:rPr>
          <w:rFonts w:eastAsiaTheme="minorEastAsia"/>
          <w:b/>
          <w:bCs/>
          <w:sz w:val="20"/>
          <w:szCs w:val="20"/>
        </w:rPr>
        <w:t>Eype</w:t>
      </w:r>
      <w:proofErr w:type="spellEnd"/>
      <w:r w:rsidR="005A258A" w:rsidRPr="00083A03">
        <w:rPr>
          <w:rFonts w:eastAsiaTheme="minorEastAsia"/>
          <w:b/>
          <w:bCs/>
          <w:sz w:val="20"/>
          <w:szCs w:val="20"/>
        </w:rPr>
        <w:t xml:space="preserve"> Mouth facilities</w:t>
      </w:r>
    </w:p>
    <w:p w14:paraId="4CCA37B0" w14:textId="76D4D2F6" w:rsidR="00DF6126" w:rsidRDefault="005A258A" w:rsidP="00FB57D8">
      <w:pPr>
        <w:spacing w:after="0"/>
        <w:rPr>
          <w:sz w:val="20"/>
          <w:szCs w:val="20"/>
        </w:rPr>
      </w:pPr>
      <w:r>
        <w:rPr>
          <w:sz w:val="20"/>
          <w:szCs w:val="20"/>
        </w:rPr>
        <w:t>There was a discussion about the lack of facilities at the beach. Could provision be made for the public, as part of the new campsite?</w:t>
      </w:r>
      <w:r w:rsidR="007D47FA">
        <w:rPr>
          <w:sz w:val="20"/>
          <w:szCs w:val="20"/>
        </w:rPr>
        <w:t xml:space="preserve"> Cllr Hartmann would discuss this with Martin Cox before any next steps.</w:t>
      </w:r>
    </w:p>
    <w:p w14:paraId="41230F75" w14:textId="77777777" w:rsidR="00496C85" w:rsidRDefault="00496C85" w:rsidP="00FB57D8">
      <w:pPr>
        <w:spacing w:after="0" w:line="240" w:lineRule="auto"/>
        <w:rPr>
          <w:bCs/>
          <w:sz w:val="20"/>
          <w:szCs w:val="20"/>
        </w:rPr>
      </w:pPr>
    </w:p>
    <w:p w14:paraId="0190844E" w14:textId="03FCBD7E" w:rsidR="00083A03" w:rsidRDefault="00083A03" w:rsidP="00A52C26">
      <w:pPr>
        <w:spacing w:after="0" w:line="240" w:lineRule="auto"/>
        <w:rPr>
          <w:b/>
          <w:bCs/>
          <w:sz w:val="20"/>
          <w:szCs w:val="20"/>
        </w:rPr>
      </w:pPr>
      <w:r w:rsidRPr="00083A03">
        <w:rPr>
          <w:rFonts w:cs="Open Sans"/>
          <w:b/>
          <w:sz w:val="20"/>
          <w:szCs w:val="20"/>
          <w:shd w:val="clear" w:color="auto" w:fill="FFFFFF"/>
        </w:rPr>
        <w:t xml:space="preserve">0007: </w:t>
      </w:r>
      <w:r w:rsidR="00D74D5D">
        <w:rPr>
          <w:rFonts w:cs="Open Sans"/>
          <w:b/>
          <w:sz w:val="20"/>
          <w:szCs w:val="20"/>
          <w:shd w:val="clear" w:color="auto" w:fill="FFFFFF"/>
        </w:rPr>
        <w:t>Quarr Lane improvements</w:t>
      </w:r>
    </w:p>
    <w:p w14:paraId="731D5F56" w14:textId="4AF0A9C7" w:rsidR="00501D85" w:rsidRDefault="00D74D5D" w:rsidP="00A52C26">
      <w:pPr>
        <w:spacing w:after="0" w:line="240" w:lineRule="auto"/>
        <w:rPr>
          <w:rFonts w:cs="Open Sans"/>
          <w:bCs/>
          <w:sz w:val="20"/>
          <w:szCs w:val="20"/>
          <w:shd w:val="clear" w:color="auto" w:fill="FFFFFF"/>
        </w:rPr>
      </w:pPr>
      <w:r>
        <w:rPr>
          <w:rFonts w:cs="Open Sans"/>
          <w:bCs/>
          <w:sz w:val="20"/>
          <w:szCs w:val="20"/>
          <w:shd w:val="clear" w:color="auto" w:fill="FFFFFF"/>
        </w:rPr>
        <w:t xml:space="preserve">Cllr Ralph explained that he had been contacted by local residents around Quarr Lane regarding the </w:t>
      </w:r>
      <w:proofErr w:type="gramStart"/>
      <w:r>
        <w:rPr>
          <w:rFonts w:cs="Open Sans"/>
          <w:bCs/>
          <w:sz w:val="20"/>
          <w:szCs w:val="20"/>
          <w:shd w:val="clear" w:color="auto" w:fill="FFFFFF"/>
        </w:rPr>
        <w:t>badly-maintained</w:t>
      </w:r>
      <w:proofErr w:type="gramEnd"/>
      <w:r>
        <w:rPr>
          <w:rFonts w:cs="Open Sans"/>
          <w:bCs/>
          <w:sz w:val="20"/>
          <w:szCs w:val="20"/>
          <w:shd w:val="clear" w:color="auto" w:fill="FFFFFF"/>
        </w:rPr>
        <w:t xml:space="preserve"> road surface</w:t>
      </w:r>
      <w:r w:rsidR="00501D85">
        <w:rPr>
          <w:rFonts w:cs="Open Sans"/>
          <w:bCs/>
          <w:sz w:val="20"/>
          <w:szCs w:val="20"/>
          <w:shd w:val="clear" w:color="auto" w:fill="FFFFFF"/>
        </w:rPr>
        <w:t xml:space="preserve">. The Clerk </w:t>
      </w:r>
      <w:r>
        <w:rPr>
          <w:rFonts w:cs="Open Sans"/>
          <w:bCs/>
          <w:sz w:val="20"/>
          <w:szCs w:val="20"/>
          <w:shd w:val="clear" w:color="auto" w:fill="FFFFFF"/>
        </w:rPr>
        <w:t>was asked to file a report with Highways, requesting resurfacing.</w:t>
      </w:r>
    </w:p>
    <w:p w14:paraId="097A30E4" w14:textId="76FA15A5" w:rsidR="00083A03" w:rsidRPr="00501D85" w:rsidRDefault="00501D85" w:rsidP="00A52C26">
      <w:pPr>
        <w:spacing w:after="0" w:line="240" w:lineRule="auto"/>
        <w:rPr>
          <w:rFonts w:cs="Open Sans"/>
          <w:bCs/>
          <w:sz w:val="20"/>
          <w:szCs w:val="20"/>
          <w:shd w:val="clear" w:color="auto" w:fill="FFFFFF"/>
        </w:rPr>
      </w:pPr>
      <w:r>
        <w:rPr>
          <w:rFonts w:cs="Open Sans"/>
          <w:bCs/>
          <w:sz w:val="20"/>
          <w:szCs w:val="20"/>
          <w:shd w:val="clear" w:color="auto" w:fill="FFFFFF"/>
        </w:rPr>
        <w:t xml:space="preserve"> </w:t>
      </w:r>
    </w:p>
    <w:p w14:paraId="15D576FC" w14:textId="7D403855" w:rsidR="00B5376C" w:rsidRPr="00D74D5D" w:rsidRDefault="00083A03" w:rsidP="00D74D5D">
      <w:pPr>
        <w:spacing w:after="0" w:line="240" w:lineRule="auto"/>
        <w:jc w:val="both"/>
        <w:rPr>
          <w:rFonts w:eastAsiaTheme="minorEastAsia"/>
          <w:b/>
          <w:sz w:val="20"/>
          <w:szCs w:val="20"/>
        </w:rPr>
      </w:pPr>
      <w:r w:rsidRPr="00083A03">
        <w:rPr>
          <w:rFonts w:eastAsiaTheme="minorEastAsia"/>
          <w:b/>
          <w:bCs/>
          <w:sz w:val="20"/>
          <w:szCs w:val="20"/>
        </w:rPr>
        <w:t>0008:</w:t>
      </w:r>
      <w:r w:rsidR="00D74D5D">
        <w:rPr>
          <w:rFonts w:eastAsiaTheme="minorEastAsia"/>
          <w:b/>
          <w:sz w:val="20"/>
          <w:szCs w:val="20"/>
        </w:rPr>
        <w:t xml:space="preserve"> </w:t>
      </w:r>
      <w:r w:rsidR="00B22D02">
        <w:rPr>
          <w:rFonts w:eastAsiaTheme="minorEastAsia"/>
          <w:b/>
          <w:sz w:val="20"/>
          <w:szCs w:val="20"/>
        </w:rPr>
        <w:t xml:space="preserve">Reports from </w:t>
      </w:r>
      <w:r w:rsidR="00FF0D84">
        <w:rPr>
          <w:rFonts w:eastAsiaTheme="minorEastAsia"/>
          <w:b/>
          <w:sz w:val="20"/>
          <w:szCs w:val="20"/>
        </w:rPr>
        <w:t xml:space="preserve">Lead </w:t>
      </w:r>
      <w:r w:rsidR="00B22D02">
        <w:rPr>
          <w:rFonts w:eastAsiaTheme="minorEastAsia"/>
          <w:b/>
          <w:sz w:val="20"/>
          <w:szCs w:val="20"/>
        </w:rPr>
        <w:t>Councillors</w:t>
      </w:r>
    </w:p>
    <w:p w14:paraId="6E71533F" w14:textId="3691B3C8" w:rsidR="00B5376C" w:rsidRPr="003F417B" w:rsidRDefault="003F417B" w:rsidP="00520CD9">
      <w:pPr>
        <w:rPr>
          <w:bCs/>
          <w:sz w:val="20"/>
          <w:szCs w:val="20"/>
        </w:rPr>
      </w:pPr>
      <w:r>
        <w:rPr>
          <w:b/>
          <w:sz w:val="20"/>
          <w:szCs w:val="20"/>
        </w:rPr>
        <w:tab/>
      </w:r>
      <w:r w:rsidRPr="003F417B">
        <w:rPr>
          <w:bCs/>
          <w:sz w:val="20"/>
          <w:szCs w:val="20"/>
        </w:rPr>
        <w:t xml:space="preserve">Local Reports </w:t>
      </w:r>
    </w:p>
    <w:tbl>
      <w:tblPr>
        <w:tblStyle w:val="TableGrid"/>
        <w:tblW w:w="9493" w:type="dxa"/>
        <w:tblLook w:val="04A0" w:firstRow="1" w:lastRow="0" w:firstColumn="1" w:lastColumn="0" w:noHBand="0" w:noVBand="1"/>
      </w:tblPr>
      <w:tblGrid>
        <w:gridCol w:w="3012"/>
        <w:gridCol w:w="2990"/>
        <w:gridCol w:w="3491"/>
      </w:tblGrid>
      <w:tr w:rsidR="00D74D5D" w:rsidRPr="003F417B" w14:paraId="5FE5A88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1394050" w14:textId="2DD17AAB" w:rsidR="00D74D5D" w:rsidRPr="003F417B" w:rsidRDefault="00D74D5D" w:rsidP="00D74D5D">
            <w:pPr>
              <w:numPr>
                <w:ilvl w:val="0"/>
                <w:numId w:val="4"/>
              </w:numPr>
              <w:contextualSpacing/>
              <w:rPr>
                <w:rFonts w:eastAsiaTheme="minorEastAsia"/>
                <w:sz w:val="20"/>
                <w:szCs w:val="20"/>
              </w:rPr>
            </w:pPr>
            <w:r w:rsidRPr="002C1E55">
              <w:rPr>
                <w:b/>
                <w:sz w:val="20"/>
                <w:szCs w:val="20"/>
              </w:rPr>
              <w:t xml:space="preserve">Footpaths                     </w:t>
            </w:r>
            <w:r w:rsidRPr="002C1E55">
              <w:rPr>
                <w:b/>
                <w:color w:val="FF0000"/>
                <w:sz w:val="20"/>
                <w:szCs w:val="20"/>
              </w:rPr>
              <w:t>SR</w:t>
            </w:r>
            <w:r w:rsidRPr="002C1E55">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C653F10" w14:textId="3EB2299D"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Resilience                 </w:t>
            </w:r>
            <w:r w:rsidR="000E78EE">
              <w:rPr>
                <w:b/>
                <w:sz w:val="20"/>
                <w:szCs w:val="20"/>
              </w:rPr>
              <w:t xml:space="preserve"> </w:t>
            </w:r>
            <w:r w:rsidRPr="002C1E55">
              <w:rPr>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13312859" w14:textId="1205F1EF"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DAPTC                                </w:t>
            </w:r>
            <w:r w:rsidRPr="002C1E55">
              <w:rPr>
                <w:b/>
                <w:color w:val="FF0000"/>
                <w:sz w:val="20"/>
                <w:szCs w:val="20"/>
              </w:rPr>
              <w:t>PH</w:t>
            </w:r>
          </w:p>
        </w:tc>
      </w:tr>
      <w:tr w:rsidR="00D74D5D" w:rsidRPr="003F417B" w14:paraId="16B6062B" w14:textId="77777777" w:rsidTr="008563C3">
        <w:tc>
          <w:tcPr>
            <w:tcW w:w="3012" w:type="dxa"/>
            <w:tcBorders>
              <w:top w:val="single" w:sz="4" w:space="0" w:color="auto"/>
              <w:left w:val="single" w:sz="4" w:space="0" w:color="auto"/>
              <w:bottom w:val="single" w:sz="4" w:space="0" w:color="auto"/>
              <w:right w:val="single" w:sz="4" w:space="0" w:color="auto"/>
            </w:tcBorders>
          </w:tcPr>
          <w:p w14:paraId="77823045" w14:textId="6ED73815" w:rsidR="00D74D5D" w:rsidRPr="00D74D5D" w:rsidRDefault="00D74D5D" w:rsidP="00D74D5D">
            <w:pPr>
              <w:pStyle w:val="ListParagraph"/>
              <w:numPr>
                <w:ilvl w:val="0"/>
                <w:numId w:val="4"/>
              </w:numPr>
              <w:rPr>
                <w:sz w:val="20"/>
                <w:szCs w:val="20"/>
              </w:rPr>
            </w:pPr>
            <w:r w:rsidRPr="00D74D5D">
              <w:rPr>
                <w:b/>
                <w:sz w:val="20"/>
                <w:szCs w:val="20"/>
              </w:rPr>
              <w:t xml:space="preserve">BLAP Steering </w:t>
            </w:r>
            <w:proofErr w:type="gramStart"/>
            <w:r w:rsidRPr="00D74D5D">
              <w:rPr>
                <w:b/>
                <w:sz w:val="20"/>
                <w:szCs w:val="20"/>
              </w:rPr>
              <w:t xml:space="preserve">Group  </w:t>
            </w:r>
            <w:r w:rsidRPr="00D74D5D">
              <w:rPr>
                <w:b/>
                <w:color w:val="FF0000"/>
                <w:sz w:val="20"/>
                <w:szCs w:val="20"/>
              </w:rPr>
              <w:t>AS</w:t>
            </w:r>
            <w:proofErr w:type="gramEnd"/>
          </w:p>
        </w:tc>
        <w:tc>
          <w:tcPr>
            <w:tcW w:w="2990" w:type="dxa"/>
            <w:tcBorders>
              <w:top w:val="single" w:sz="4" w:space="0" w:color="auto"/>
              <w:left w:val="single" w:sz="4" w:space="0" w:color="auto"/>
              <w:bottom w:val="single" w:sz="4" w:space="0" w:color="auto"/>
              <w:right w:val="single" w:sz="4" w:space="0" w:color="auto"/>
            </w:tcBorders>
            <w:hideMark/>
          </w:tcPr>
          <w:p w14:paraId="5882BA15" w14:textId="661F8F19"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BLAP Parish Liaison </w:t>
            </w:r>
            <w:r w:rsidRPr="002C1E55">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2A298A94" w14:textId="452BDC60"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Bridport Area Neighbourhood Plan – JCC                          </w:t>
            </w:r>
            <w:r w:rsidR="000E78EE">
              <w:rPr>
                <w:b/>
                <w:sz w:val="20"/>
                <w:szCs w:val="20"/>
              </w:rPr>
              <w:t xml:space="preserve"> </w:t>
            </w:r>
            <w:r w:rsidRPr="002C1E55">
              <w:rPr>
                <w:b/>
                <w:color w:val="FF0000"/>
                <w:sz w:val="20"/>
                <w:szCs w:val="20"/>
              </w:rPr>
              <w:t>PH</w:t>
            </w:r>
          </w:p>
        </w:tc>
      </w:tr>
      <w:tr w:rsidR="00D74D5D" w:rsidRPr="003F417B" w14:paraId="3F7BB5C8"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0174E26" w14:textId="0E8A1193"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Tree Officer/Ancient Monuments                 </w:t>
            </w:r>
            <w:r w:rsidRPr="002C1E55">
              <w:rPr>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791E0049" w14:textId="24A1C854"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Community Governance Review                      </w:t>
            </w:r>
            <w:r w:rsidRPr="002C1E55">
              <w:rPr>
                <w:b/>
                <w:color w:val="FF0000"/>
                <w:sz w:val="20"/>
                <w:szCs w:val="20"/>
              </w:rPr>
              <w:t>PH</w:t>
            </w:r>
            <w:r w:rsidRPr="002C1E55">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0EFDF3B9" w14:textId="59199311"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Bridport Area Neighbourhood Plan – Steering Group    </w:t>
            </w:r>
            <w:r w:rsidR="000E78EE">
              <w:rPr>
                <w:b/>
                <w:sz w:val="20"/>
                <w:szCs w:val="20"/>
              </w:rPr>
              <w:t xml:space="preserve">  </w:t>
            </w:r>
            <w:r w:rsidRPr="002C1E55">
              <w:rPr>
                <w:b/>
                <w:color w:val="FF0000"/>
                <w:sz w:val="20"/>
                <w:szCs w:val="20"/>
              </w:rPr>
              <w:t>PH</w:t>
            </w:r>
          </w:p>
        </w:tc>
      </w:tr>
      <w:tr w:rsidR="00D74D5D" w:rsidRPr="003F417B" w14:paraId="2894F7E7"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07F98EA1" w14:textId="047B5C75" w:rsidR="00D74D5D" w:rsidRPr="003F417B" w:rsidRDefault="00D74D5D" w:rsidP="00D74D5D">
            <w:pPr>
              <w:numPr>
                <w:ilvl w:val="0"/>
                <w:numId w:val="4"/>
              </w:numPr>
              <w:contextualSpacing/>
              <w:rPr>
                <w:rFonts w:eastAsiaTheme="minorEastAsia"/>
                <w:b/>
                <w:sz w:val="20"/>
                <w:szCs w:val="20"/>
              </w:rPr>
            </w:pPr>
            <w:proofErr w:type="spellStart"/>
            <w:r w:rsidRPr="002C1E55">
              <w:rPr>
                <w:b/>
                <w:sz w:val="20"/>
                <w:szCs w:val="20"/>
              </w:rPr>
              <w:t>Symene</w:t>
            </w:r>
            <w:proofErr w:type="spellEnd"/>
            <w:r w:rsidRPr="002C1E55">
              <w:rPr>
                <w:b/>
                <w:sz w:val="20"/>
                <w:szCs w:val="20"/>
              </w:rPr>
              <w:t xml:space="preserve"> CLT                 </w:t>
            </w:r>
            <w:r w:rsidRPr="002C1E55">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0BE16938" w14:textId="304C3C1D" w:rsidR="00D74D5D" w:rsidRPr="003F417B" w:rsidRDefault="00D74D5D" w:rsidP="00D74D5D">
            <w:pPr>
              <w:numPr>
                <w:ilvl w:val="0"/>
                <w:numId w:val="4"/>
              </w:numPr>
              <w:contextualSpacing/>
              <w:rPr>
                <w:rFonts w:eastAsiaTheme="minorEastAsia"/>
                <w:b/>
                <w:sz w:val="20"/>
                <w:szCs w:val="20"/>
              </w:rPr>
            </w:pPr>
            <w:proofErr w:type="spellStart"/>
            <w:r w:rsidRPr="002C1E55">
              <w:rPr>
                <w:b/>
                <w:sz w:val="20"/>
                <w:szCs w:val="20"/>
              </w:rPr>
              <w:t>Symene</w:t>
            </w:r>
            <w:proofErr w:type="spellEnd"/>
            <w:r w:rsidRPr="002C1E55">
              <w:rPr>
                <w:b/>
                <w:sz w:val="20"/>
                <w:szCs w:val="20"/>
              </w:rPr>
              <w:t xml:space="preserve"> Voice   </w:t>
            </w:r>
            <w:r w:rsidRPr="002C1E55">
              <w:rPr>
                <w:b/>
                <w:color w:val="FF0000"/>
                <w:sz w:val="20"/>
                <w:szCs w:val="20"/>
              </w:rPr>
              <w:t>NDB/VH</w:t>
            </w:r>
          </w:p>
        </w:tc>
        <w:tc>
          <w:tcPr>
            <w:tcW w:w="3491" w:type="dxa"/>
            <w:tcBorders>
              <w:top w:val="single" w:sz="4" w:space="0" w:color="auto"/>
              <w:left w:val="single" w:sz="4" w:space="0" w:color="auto"/>
              <w:bottom w:val="single" w:sz="4" w:space="0" w:color="auto"/>
              <w:right w:val="single" w:sz="4" w:space="0" w:color="auto"/>
            </w:tcBorders>
            <w:hideMark/>
          </w:tcPr>
          <w:p w14:paraId="618E3BB2" w14:textId="314E076E"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Coastal Matters               </w:t>
            </w:r>
            <w:r w:rsidR="000E78EE">
              <w:rPr>
                <w:b/>
                <w:sz w:val="20"/>
                <w:szCs w:val="20"/>
              </w:rPr>
              <w:t xml:space="preserve">  </w:t>
            </w:r>
            <w:r w:rsidRPr="002C1E55">
              <w:rPr>
                <w:b/>
                <w:color w:val="FF0000"/>
                <w:sz w:val="20"/>
                <w:szCs w:val="20"/>
              </w:rPr>
              <w:t>TC</w:t>
            </w:r>
          </w:p>
        </w:tc>
      </w:tr>
      <w:tr w:rsidR="00D74D5D" w:rsidRPr="003F417B" w14:paraId="0D756FB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5F72365" w14:textId="2EB1A8AD"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Allotments                   </w:t>
            </w:r>
            <w:r w:rsidRPr="002C1E55">
              <w:rPr>
                <w:b/>
                <w:color w:val="FF0000"/>
                <w:sz w:val="20"/>
                <w:szCs w:val="20"/>
              </w:rPr>
              <w:t>TC</w:t>
            </w:r>
          </w:p>
        </w:tc>
        <w:tc>
          <w:tcPr>
            <w:tcW w:w="2990" w:type="dxa"/>
            <w:tcBorders>
              <w:top w:val="single" w:sz="4" w:space="0" w:color="auto"/>
              <w:left w:val="single" w:sz="4" w:space="0" w:color="auto"/>
              <w:bottom w:val="single" w:sz="4" w:space="0" w:color="auto"/>
              <w:right w:val="single" w:sz="4" w:space="0" w:color="auto"/>
            </w:tcBorders>
            <w:hideMark/>
          </w:tcPr>
          <w:p w14:paraId="2515C8AA" w14:textId="53F34499" w:rsidR="00D74D5D" w:rsidRPr="003F417B" w:rsidRDefault="00D74D5D" w:rsidP="00D74D5D">
            <w:pPr>
              <w:numPr>
                <w:ilvl w:val="0"/>
                <w:numId w:val="4"/>
              </w:numPr>
              <w:contextualSpacing/>
              <w:rPr>
                <w:rFonts w:eastAsiaTheme="minorEastAsia"/>
                <w:b/>
                <w:sz w:val="20"/>
                <w:szCs w:val="20"/>
              </w:rPr>
            </w:pPr>
            <w:proofErr w:type="spellStart"/>
            <w:r w:rsidRPr="002C1E55">
              <w:rPr>
                <w:b/>
                <w:sz w:val="20"/>
                <w:szCs w:val="20"/>
              </w:rPr>
              <w:t>Lengthsman</w:t>
            </w:r>
            <w:proofErr w:type="spellEnd"/>
            <w:r w:rsidRPr="002C1E55">
              <w:rPr>
                <w:b/>
                <w:sz w:val="20"/>
                <w:szCs w:val="20"/>
              </w:rPr>
              <w:t xml:space="preserve"> Link    </w:t>
            </w:r>
            <w:r w:rsidR="000E78EE">
              <w:rPr>
                <w:b/>
                <w:sz w:val="20"/>
                <w:szCs w:val="20"/>
              </w:rPr>
              <w:t xml:space="preserve"> </w:t>
            </w:r>
            <w:r w:rsidRPr="002C1E55">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FBFD5AF" w14:textId="305E54A2"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Climate and </w:t>
            </w:r>
            <w:proofErr w:type="gramStart"/>
            <w:r w:rsidRPr="002C1E55">
              <w:rPr>
                <w:b/>
                <w:sz w:val="20"/>
                <w:szCs w:val="20"/>
              </w:rPr>
              <w:t xml:space="preserve">Waterways  </w:t>
            </w:r>
            <w:r w:rsidRPr="002C1E55">
              <w:rPr>
                <w:b/>
                <w:color w:val="FF0000"/>
                <w:sz w:val="20"/>
                <w:szCs w:val="20"/>
              </w:rPr>
              <w:t>SE</w:t>
            </w:r>
            <w:proofErr w:type="gramEnd"/>
          </w:p>
        </w:tc>
      </w:tr>
      <w:tr w:rsidR="00D74D5D" w:rsidRPr="003F417B" w14:paraId="6FBFBEBB"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D4AC053" w14:textId="425004CE"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Foundry Lea          </w:t>
            </w:r>
            <w:r>
              <w:rPr>
                <w:b/>
                <w:sz w:val="20"/>
                <w:szCs w:val="20"/>
              </w:rPr>
              <w:t xml:space="preserve">       </w:t>
            </w:r>
            <w:r w:rsidRPr="002C1E55">
              <w:rPr>
                <w:b/>
                <w:color w:val="FF0000"/>
                <w:sz w:val="20"/>
                <w:szCs w:val="20"/>
              </w:rPr>
              <w:t>PH</w:t>
            </w:r>
          </w:p>
        </w:tc>
        <w:tc>
          <w:tcPr>
            <w:tcW w:w="2990" w:type="dxa"/>
            <w:tcBorders>
              <w:top w:val="single" w:sz="4" w:space="0" w:color="auto"/>
              <w:left w:val="single" w:sz="4" w:space="0" w:color="auto"/>
              <w:bottom w:val="single" w:sz="4" w:space="0" w:color="auto"/>
              <w:right w:val="single" w:sz="4" w:space="0" w:color="auto"/>
            </w:tcBorders>
            <w:hideMark/>
          </w:tcPr>
          <w:p w14:paraId="67C126FD" w14:textId="68134587" w:rsidR="00D74D5D" w:rsidRPr="00D74D5D" w:rsidRDefault="00D74D5D" w:rsidP="00D74D5D">
            <w:pPr>
              <w:pStyle w:val="ListParagraph"/>
              <w:numPr>
                <w:ilvl w:val="0"/>
                <w:numId w:val="4"/>
              </w:numPr>
              <w:rPr>
                <w:b/>
                <w:sz w:val="20"/>
                <w:szCs w:val="20"/>
              </w:rPr>
            </w:pPr>
            <w:r w:rsidRPr="00D74D5D">
              <w:rPr>
                <w:b/>
                <w:sz w:val="20"/>
                <w:szCs w:val="20"/>
              </w:rPr>
              <w:t xml:space="preserve">Clerk’s update       </w:t>
            </w:r>
            <w:r w:rsidR="000E78EE">
              <w:rPr>
                <w:b/>
                <w:sz w:val="20"/>
                <w:szCs w:val="20"/>
              </w:rPr>
              <w:t xml:space="preserve">   </w:t>
            </w:r>
            <w:r w:rsidRPr="00D74D5D">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tcPr>
          <w:p w14:paraId="7801950B" w14:textId="77777777" w:rsidR="00D74D5D" w:rsidRPr="003F417B" w:rsidRDefault="00D74D5D" w:rsidP="00D74D5D">
            <w:pPr>
              <w:contextualSpacing/>
              <w:rPr>
                <w:rFonts w:eastAsiaTheme="minorEastAsia"/>
                <w:b/>
                <w:sz w:val="20"/>
                <w:szCs w:val="20"/>
              </w:rPr>
            </w:pPr>
          </w:p>
        </w:tc>
      </w:tr>
    </w:tbl>
    <w:p w14:paraId="5749CF21" w14:textId="77777777" w:rsidR="00E35FE6" w:rsidRDefault="00E35FE6" w:rsidP="00E35FE6">
      <w:pPr>
        <w:spacing w:after="0"/>
        <w:jc w:val="both"/>
        <w:rPr>
          <w:b/>
          <w:sz w:val="20"/>
          <w:szCs w:val="20"/>
        </w:rPr>
      </w:pPr>
    </w:p>
    <w:p w14:paraId="57BEC295" w14:textId="78CABC83" w:rsidR="001C0949" w:rsidRDefault="00E35FE6" w:rsidP="00F60E46">
      <w:pPr>
        <w:pStyle w:val="NormalWeb"/>
        <w:shd w:val="clear" w:color="auto" w:fill="FFFFFF"/>
        <w:spacing w:after="0" w:line="240" w:lineRule="auto"/>
        <w:rPr>
          <w:rFonts w:asciiTheme="minorHAnsi" w:eastAsiaTheme="minorEastAsia" w:hAnsiTheme="minorHAnsi" w:cstheme="minorHAnsi"/>
          <w:sz w:val="20"/>
          <w:szCs w:val="20"/>
        </w:rPr>
      </w:pPr>
      <w:r w:rsidRPr="006D365E">
        <w:rPr>
          <w:rFonts w:asciiTheme="minorHAnsi" w:eastAsiaTheme="minorEastAsia" w:hAnsiTheme="minorHAnsi" w:cstheme="minorHAnsi"/>
          <w:bCs/>
          <w:sz w:val="20"/>
          <w:szCs w:val="20"/>
        </w:rPr>
        <w:t>a}</w:t>
      </w:r>
      <w:r w:rsidR="006D365E">
        <w:rPr>
          <w:rFonts w:asciiTheme="minorHAnsi" w:eastAsiaTheme="minorEastAsia" w:hAnsiTheme="minorHAnsi" w:cstheme="minorHAnsi"/>
          <w:bCs/>
          <w:sz w:val="20"/>
          <w:szCs w:val="20"/>
        </w:rPr>
        <w:t xml:space="preserve"> </w:t>
      </w:r>
      <w:r w:rsidR="006D365E" w:rsidRPr="006D365E">
        <w:rPr>
          <w:rFonts w:asciiTheme="minorHAnsi" w:eastAsiaTheme="minorEastAsia" w:hAnsiTheme="minorHAnsi" w:cstheme="minorHAnsi"/>
          <w:bCs/>
          <w:sz w:val="20"/>
          <w:szCs w:val="20"/>
        </w:rPr>
        <w:t xml:space="preserve">Cllr Ralph </w:t>
      </w:r>
      <w:r w:rsidR="00012711">
        <w:rPr>
          <w:rFonts w:asciiTheme="minorHAnsi" w:eastAsiaTheme="minorEastAsia" w:hAnsiTheme="minorHAnsi" w:cstheme="minorHAnsi"/>
          <w:bCs/>
          <w:sz w:val="20"/>
          <w:szCs w:val="20"/>
        </w:rPr>
        <w:t xml:space="preserve">reported </w:t>
      </w:r>
      <w:r w:rsidR="00B22EAF">
        <w:rPr>
          <w:rFonts w:asciiTheme="minorHAnsi" w:eastAsiaTheme="minorEastAsia" w:hAnsiTheme="minorHAnsi" w:cstheme="minorHAnsi"/>
          <w:bCs/>
          <w:sz w:val="20"/>
          <w:szCs w:val="20"/>
        </w:rPr>
        <w:t>latest</w:t>
      </w:r>
      <w:r w:rsidR="001D6253">
        <w:rPr>
          <w:rFonts w:asciiTheme="minorHAnsi" w:eastAsiaTheme="minorEastAsia" w:hAnsiTheme="minorHAnsi" w:cstheme="minorHAnsi"/>
          <w:bCs/>
          <w:sz w:val="20"/>
          <w:szCs w:val="20"/>
        </w:rPr>
        <w:t xml:space="preserve"> progress on the new footpath/cycleway at </w:t>
      </w:r>
      <w:proofErr w:type="spellStart"/>
      <w:r w:rsidR="001D6253">
        <w:rPr>
          <w:rFonts w:asciiTheme="minorHAnsi" w:eastAsiaTheme="minorEastAsia" w:hAnsiTheme="minorHAnsi" w:cstheme="minorHAnsi"/>
          <w:bCs/>
          <w:sz w:val="20"/>
          <w:szCs w:val="20"/>
        </w:rPr>
        <w:t>Chideock</w:t>
      </w:r>
      <w:proofErr w:type="spellEnd"/>
      <w:r w:rsidR="001D6253">
        <w:rPr>
          <w:rFonts w:asciiTheme="minorHAnsi" w:eastAsiaTheme="minorEastAsia" w:hAnsiTheme="minorHAnsi" w:cstheme="minorHAnsi"/>
          <w:bCs/>
          <w:sz w:val="20"/>
          <w:szCs w:val="20"/>
        </w:rPr>
        <w:t xml:space="preserve">. The </w:t>
      </w:r>
      <w:r w:rsidR="001C0949">
        <w:rPr>
          <w:rFonts w:asciiTheme="minorHAnsi" w:eastAsiaTheme="minorEastAsia" w:hAnsiTheme="minorHAnsi" w:cstheme="minorHAnsi"/>
          <w:bCs/>
          <w:sz w:val="20"/>
          <w:szCs w:val="20"/>
        </w:rPr>
        <w:t xml:space="preserve">Council </w:t>
      </w:r>
      <w:r w:rsidR="00B22EAF">
        <w:rPr>
          <w:rFonts w:asciiTheme="minorHAnsi" w:eastAsiaTheme="minorEastAsia" w:hAnsiTheme="minorHAnsi" w:cstheme="minorHAnsi"/>
          <w:bCs/>
          <w:sz w:val="20"/>
          <w:szCs w:val="20"/>
        </w:rPr>
        <w:t>have been asked to</w:t>
      </w:r>
      <w:r w:rsidR="001D6253">
        <w:rPr>
          <w:rFonts w:asciiTheme="minorHAnsi" w:eastAsiaTheme="minorEastAsia" w:hAnsiTheme="minorHAnsi" w:cstheme="minorHAnsi"/>
          <w:bCs/>
          <w:sz w:val="20"/>
          <w:szCs w:val="20"/>
        </w:rPr>
        <w:t xml:space="preserve"> support </w:t>
      </w:r>
      <w:r w:rsidR="00B22EAF">
        <w:rPr>
          <w:rFonts w:asciiTheme="minorHAnsi" w:eastAsiaTheme="minorEastAsia" w:hAnsiTheme="minorHAnsi" w:cstheme="minorHAnsi"/>
          <w:bCs/>
          <w:sz w:val="20"/>
          <w:szCs w:val="20"/>
        </w:rPr>
        <w:t xml:space="preserve">the </w:t>
      </w:r>
      <w:proofErr w:type="gramStart"/>
      <w:r w:rsidR="00B22EAF">
        <w:rPr>
          <w:rFonts w:asciiTheme="minorHAnsi" w:eastAsiaTheme="minorEastAsia" w:hAnsiTheme="minorHAnsi" w:cstheme="minorHAnsi"/>
          <w:bCs/>
          <w:sz w:val="20"/>
          <w:szCs w:val="20"/>
        </w:rPr>
        <w:t>development</w:t>
      </w:r>
      <w:proofErr w:type="gramEnd"/>
      <w:r w:rsidR="00B22EAF">
        <w:rPr>
          <w:rFonts w:asciiTheme="minorHAnsi" w:eastAsiaTheme="minorEastAsia" w:hAnsiTheme="minorHAnsi" w:cstheme="minorHAnsi"/>
          <w:bCs/>
          <w:sz w:val="20"/>
          <w:szCs w:val="20"/>
        </w:rPr>
        <w:t xml:space="preserve"> but no estimates are available at this time,</w:t>
      </w:r>
    </w:p>
    <w:p w14:paraId="71096129" w14:textId="59193051" w:rsidR="00E35FE6" w:rsidRDefault="00E35FE6" w:rsidP="00F60E46">
      <w:pPr>
        <w:spacing w:after="0" w:line="240" w:lineRule="auto"/>
        <w:jc w:val="both"/>
        <w:rPr>
          <w:rFonts w:eastAsiaTheme="minorEastAsia" w:cstheme="minorHAnsi"/>
          <w:bCs/>
          <w:sz w:val="20"/>
          <w:szCs w:val="20"/>
        </w:rPr>
      </w:pPr>
      <w:r w:rsidRPr="00E35FE6">
        <w:rPr>
          <w:rFonts w:eastAsiaTheme="minorEastAsia" w:cstheme="minorHAnsi"/>
          <w:bCs/>
          <w:sz w:val="20"/>
          <w:szCs w:val="20"/>
        </w:rPr>
        <w:t>b) Cllr Streatfeild</w:t>
      </w:r>
      <w:r w:rsidR="001D6253">
        <w:rPr>
          <w:rFonts w:eastAsiaTheme="minorEastAsia" w:cstheme="minorHAnsi"/>
          <w:bCs/>
          <w:sz w:val="20"/>
          <w:szCs w:val="20"/>
        </w:rPr>
        <w:t xml:space="preserve"> </w:t>
      </w:r>
      <w:r w:rsidR="00B22EAF">
        <w:rPr>
          <w:rFonts w:eastAsiaTheme="minorEastAsia" w:cstheme="minorHAnsi"/>
          <w:bCs/>
          <w:sz w:val="20"/>
          <w:szCs w:val="20"/>
        </w:rPr>
        <w:t>asked Cllr Ralph to cover any resilience matters over the next month.</w:t>
      </w:r>
    </w:p>
    <w:p w14:paraId="063D37E3" w14:textId="0C1ECC87" w:rsidR="00B22EAF" w:rsidRDefault="00B22EAF" w:rsidP="00F60E46">
      <w:pPr>
        <w:spacing w:after="0" w:line="240" w:lineRule="auto"/>
        <w:jc w:val="both"/>
        <w:rPr>
          <w:rFonts w:eastAsiaTheme="minorEastAsia" w:cstheme="minorHAnsi"/>
          <w:bCs/>
          <w:sz w:val="20"/>
          <w:szCs w:val="20"/>
        </w:rPr>
      </w:pPr>
      <w:r>
        <w:rPr>
          <w:rFonts w:eastAsiaTheme="minorEastAsia" w:cstheme="minorHAnsi"/>
          <w:bCs/>
          <w:sz w:val="20"/>
          <w:szCs w:val="20"/>
        </w:rPr>
        <w:t>h) Cllr Hartmann went through the report he had previously circulated regarding the CGR. The Council agreed that several more minor boundary changes would need to take place</w:t>
      </w:r>
      <w:r w:rsidR="00E6395F">
        <w:rPr>
          <w:rFonts w:eastAsiaTheme="minorEastAsia" w:cstheme="minorHAnsi"/>
          <w:bCs/>
          <w:sz w:val="20"/>
          <w:szCs w:val="20"/>
        </w:rPr>
        <w:t xml:space="preserve">, </w:t>
      </w:r>
      <w:proofErr w:type="spellStart"/>
      <w:r w:rsidR="00E6395F">
        <w:rPr>
          <w:rFonts w:eastAsiaTheme="minorEastAsia" w:cstheme="minorHAnsi"/>
          <w:bCs/>
          <w:sz w:val="20"/>
          <w:szCs w:val="20"/>
        </w:rPr>
        <w:t>eg</w:t>
      </w:r>
      <w:proofErr w:type="spellEnd"/>
      <w:r w:rsidR="00E6395F">
        <w:rPr>
          <w:rFonts w:eastAsiaTheme="minorEastAsia" w:cstheme="minorHAnsi"/>
          <w:bCs/>
          <w:sz w:val="20"/>
          <w:szCs w:val="20"/>
        </w:rPr>
        <w:t xml:space="preserve"> to couple footpaths and roads together</w:t>
      </w:r>
      <w:r w:rsidR="00CC6414">
        <w:rPr>
          <w:rFonts w:eastAsiaTheme="minorEastAsia" w:cstheme="minorHAnsi"/>
          <w:bCs/>
          <w:sz w:val="20"/>
          <w:szCs w:val="20"/>
        </w:rPr>
        <w:t>, The Clerk was asked to clarify the responsibilities for the Council around St Saviour’s, which will become part of the Parish.</w:t>
      </w:r>
    </w:p>
    <w:p w14:paraId="68E56B40" w14:textId="50C87ACF" w:rsidR="00707B08" w:rsidRDefault="00CC6414" w:rsidP="00F60E46">
      <w:pPr>
        <w:spacing w:after="0" w:line="240" w:lineRule="auto"/>
        <w:jc w:val="both"/>
        <w:rPr>
          <w:rFonts w:eastAsiaTheme="minorEastAsia" w:cstheme="minorHAnsi"/>
          <w:bCs/>
          <w:sz w:val="20"/>
          <w:szCs w:val="20"/>
        </w:rPr>
      </w:pPr>
      <w:r>
        <w:rPr>
          <w:rFonts w:eastAsiaTheme="minorEastAsia" w:cstheme="minorHAnsi"/>
          <w:bCs/>
          <w:sz w:val="20"/>
          <w:szCs w:val="20"/>
        </w:rPr>
        <w:t>q) The Clerk updated the Council on the speed watch equipment. The Police had requested the equipment back if we were not using it. The Council agreed to donate the equipment back to the Police in return for occasional support with our own campaigns.</w:t>
      </w:r>
    </w:p>
    <w:p w14:paraId="2DBC843F" w14:textId="77777777" w:rsidR="00F7093E" w:rsidRDefault="00F7093E" w:rsidP="00E35FE6">
      <w:pPr>
        <w:spacing w:after="0"/>
        <w:jc w:val="both"/>
        <w:rPr>
          <w:b/>
          <w:sz w:val="20"/>
          <w:szCs w:val="20"/>
        </w:rPr>
      </w:pPr>
    </w:p>
    <w:p w14:paraId="23F79E8A" w14:textId="54D617F7" w:rsidR="00E35FE6" w:rsidRDefault="00E35FE6" w:rsidP="00E35FE6">
      <w:pPr>
        <w:spacing w:after="0"/>
        <w:jc w:val="both"/>
        <w:rPr>
          <w:rFonts w:eastAsiaTheme="minorEastAsia"/>
          <w:sz w:val="20"/>
          <w:szCs w:val="20"/>
        </w:rPr>
      </w:pPr>
      <w:r>
        <w:rPr>
          <w:b/>
          <w:sz w:val="20"/>
          <w:szCs w:val="20"/>
        </w:rPr>
        <w:t>00</w:t>
      </w:r>
      <w:r w:rsidR="00CC6414">
        <w:rPr>
          <w:b/>
          <w:sz w:val="20"/>
          <w:szCs w:val="20"/>
        </w:rPr>
        <w:t>09</w:t>
      </w:r>
      <w:r w:rsidR="00063857" w:rsidRPr="00063857">
        <w:rPr>
          <w:b/>
          <w:sz w:val="20"/>
          <w:szCs w:val="20"/>
        </w:rPr>
        <w:t>: Items for future meetings</w:t>
      </w:r>
      <w:r w:rsidR="00063857">
        <w:rPr>
          <w:bCs/>
          <w:sz w:val="20"/>
          <w:szCs w:val="20"/>
        </w:rPr>
        <w:t>:</w:t>
      </w:r>
      <w:r w:rsidR="00083A03">
        <w:rPr>
          <w:bCs/>
          <w:sz w:val="20"/>
          <w:szCs w:val="20"/>
        </w:rPr>
        <w:t xml:space="preserve"> </w:t>
      </w:r>
      <w:proofErr w:type="spellStart"/>
      <w:r w:rsidR="00A52C26">
        <w:rPr>
          <w:rFonts w:eastAsiaTheme="minorEastAsia"/>
          <w:sz w:val="20"/>
          <w:szCs w:val="20"/>
        </w:rPr>
        <w:t>Eype</w:t>
      </w:r>
      <w:proofErr w:type="spellEnd"/>
      <w:r w:rsidR="00A52C26">
        <w:rPr>
          <w:rFonts w:eastAsiaTheme="minorEastAsia"/>
          <w:sz w:val="20"/>
          <w:szCs w:val="20"/>
        </w:rPr>
        <w:t xml:space="preserve"> Mouth</w:t>
      </w:r>
      <w:r w:rsidR="00CC6414">
        <w:rPr>
          <w:rFonts w:eastAsiaTheme="minorEastAsia"/>
          <w:sz w:val="20"/>
          <w:szCs w:val="20"/>
        </w:rPr>
        <w:t>; Newsletter for outgoing and incoming parishioners</w:t>
      </w:r>
    </w:p>
    <w:p w14:paraId="44156F54" w14:textId="77777777" w:rsidR="00A52C26" w:rsidRDefault="00A52C26" w:rsidP="00E35FE6">
      <w:pPr>
        <w:spacing w:after="0"/>
        <w:jc w:val="both"/>
        <w:rPr>
          <w:rFonts w:eastAsiaTheme="minorEastAsia"/>
          <w:sz w:val="20"/>
          <w:szCs w:val="20"/>
        </w:rPr>
      </w:pPr>
    </w:p>
    <w:p w14:paraId="50AEB480" w14:textId="365D9382" w:rsidR="00184399" w:rsidRDefault="000C0151" w:rsidP="00E35FE6">
      <w:pPr>
        <w:spacing w:after="0"/>
        <w:rPr>
          <w:sz w:val="20"/>
          <w:szCs w:val="20"/>
        </w:rPr>
      </w:pPr>
      <w:r>
        <w:rPr>
          <w:b/>
          <w:sz w:val="20"/>
          <w:szCs w:val="20"/>
        </w:rPr>
        <w:t>00</w:t>
      </w:r>
      <w:r w:rsidR="00520CD9">
        <w:rPr>
          <w:b/>
          <w:sz w:val="20"/>
          <w:szCs w:val="20"/>
        </w:rPr>
        <w:t>1</w:t>
      </w:r>
      <w:r w:rsidR="00707B08">
        <w:rPr>
          <w:b/>
          <w:sz w:val="20"/>
          <w:szCs w:val="20"/>
        </w:rPr>
        <w:t>0</w:t>
      </w:r>
      <w:r w:rsidR="00520CD9">
        <w:rPr>
          <w:b/>
          <w:sz w:val="20"/>
          <w:szCs w:val="20"/>
        </w:rPr>
        <w:t xml:space="preserve">: </w:t>
      </w:r>
      <w:r w:rsidR="00184399">
        <w:rPr>
          <w:b/>
          <w:sz w:val="20"/>
          <w:szCs w:val="20"/>
        </w:rPr>
        <w:t xml:space="preserve">To confirm date of next meeting </w:t>
      </w:r>
      <w:r w:rsidR="00E35FE6" w:rsidRPr="00E35FE6">
        <w:rPr>
          <w:rFonts w:eastAsiaTheme="minorEastAsia"/>
          <w:sz w:val="20"/>
          <w:szCs w:val="20"/>
        </w:rPr>
        <w:t xml:space="preserve">Thursday </w:t>
      </w:r>
      <w:r w:rsidR="00CC6414">
        <w:rPr>
          <w:rFonts w:eastAsiaTheme="minorEastAsia"/>
          <w:sz w:val="20"/>
          <w:szCs w:val="20"/>
        </w:rPr>
        <w:t>14 March</w:t>
      </w:r>
      <w:r w:rsidR="00A52C26">
        <w:rPr>
          <w:rFonts w:eastAsiaTheme="minorEastAsia"/>
          <w:sz w:val="20"/>
          <w:szCs w:val="20"/>
        </w:rPr>
        <w:t xml:space="preserve"> 2024</w:t>
      </w:r>
      <w:r w:rsidR="006D365E">
        <w:rPr>
          <w:rFonts w:eastAsiaTheme="minorEastAsia"/>
          <w:sz w:val="20"/>
          <w:szCs w:val="20"/>
        </w:rPr>
        <w:t>, Symondsbury School, Symondsbury</w:t>
      </w:r>
    </w:p>
    <w:p w14:paraId="39054CEB" w14:textId="77777777" w:rsidR="00687243" w:rsidRPr="00E35FE6" w:rsidRDefault="00687243" w:rsidP="00E35FE6">
      <w:pPr>
        <w:spacing w:after="0"/>
        <w:rPr>
          <w:rFonts w:eastAsiaTheme="minorEastAsia"/>
          <w:sz w:val="20"/>
          <w:szCs w:val="20"/>
        </w:rPr>
      </w:pPr>
    </w:p>
    <w:p w14:paraId="007B3C65" w14:textId="4356F17C" w:rsidR="00DD0C51" w:rsidRPr="00E020F4" w:rsidRDefault="000C0151" w:rsidP="00E0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35FE6">
        <w:rPr>
          <w:bCs/>
          <w:sz w:val="20"/>
          <w:szCs w:val="20"/>
        </w:rPr>
        <w:t>Meeting finished at</w:t>
      </w:r>
      <w:r w:rsidR="00733128" w:rsidRPr="00E35FE6">
        <w:rPr>
          <w:bCs/>
          <w:sz w:val="20"/>
          <w:szCs w:val="20"/>
        </w:rPr>
        <w:t xml:space="preserve"> </w:t>
      </w:r>
      <w:r w:rsidR="00B5376C" w:rsidRPr="00E35FE6">
        <w:rPr>
          <w:bCs/>
          <w:sz w:val="20"/>
          <w:szCs w:val="20"/>
        </w:rPr>
        <w:t>8</w:t>
      </w:r>
      <w:r w:rsidR="00520CD9" w:rsidRPr="00E35FE6">
        <w:rPr>
          <w:bCs/>
          <w:sz w:val="20"/>
          <w:szCs w:val="20"/>
        </w:rPr>
        <w:t>.</w:t>
      </w:r>
      <w:r w:rsidR="00BE6EA6">
        <w:rPr>
          <w:bCs/>
          <w:sz w:val="20"/>
          <w:szCs w:val="20"/>
        </w:rPr>
        <w:t>1</w:t>
      </w:r>
      <w:r w:rsidR="00EB549C">
        <w:rPr>
          <w:bCs/>
          <w:sz w:val="20"/>
          <w:szCs w:val="20"/>
        </w:rPr>
        <w:t>0</w:t>
      </w:r>
      <w:r w:rsidRPr="00E35FE6">
        <w:rPr>
          <w:bCs/>
          <w:sz w:val="20"/>
          <w:szCs w:val="20"/>
        </w:rPr>
        <w:t>pm</w:t>
      </w:r>
      <w:r w:rsidR="00E020F4">
        <w:rPr>
          <w:bCs/>
          <w:sz w:val="20"/>
          <w:szCs w:val="20"/>
        </w:rPr>
        <w:t>.</w:t>
      </w:r>
    </w:p>
    <w:sectPr w:rsidR="00DD0C51" w:rsidRPr="00E02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2049B"/>
    <w:multiLevelType w:val="hybridMultilevel"/>
    <w:tmpl w:val="B302FAAC"/>
    <w:lvl w:ilvl="0" w:tplc="2C703926">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8653BC4"/>
    <w:multiLevelType w:val="hybridMultilevel"/>
    <w:tmpl w:val="46C08B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5878DC"/>
    <w:multiLevelType w:val="hybridMultilevel"/>
    <w:tmpl w:val="B204CF10"/>
    <w:lvl w:ilvl="0" w:tplc="50B0C84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8B77923"/>
    <w:multiLevelType w:val="hybridMultilevel"/>
    <w:tmpl w:val="2354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B2F7F"/>
    <w:multiLevelType w:val="hybridMultilevel"/>
    <w:tmpl w:val="0ADAB80C"/>
    <w:lvl w:ilvl="0" w:tplc="0ACCAE1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F80A21"/>
    <w:multiLevelType w:val="hybridMultilevel"/>
    <w:tmpl w:val="FF367180"/>
    <w:lvl w:ilvl="0" w:tplc="D1BEFD76">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64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1"/>
  </w:num>
  <w:num w:numId="3" w16cid:durableId="350618246">
    <w:abstractNumId w:val="5"/>
  </w:num>
  <w:num w:numId="4" w16cid:durableId="463668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068384">
    <w:abstractNumId w:val="7"/>
  </w:num>
  <w:num w:numId="6" w16cid:durableId="240719266">
    <w:abstractNumId w:val="0"/>
  </w:num>
  <w:num w:numId="7" w16cid:durableId="528418920">
    <w:abstractNumId w:val="4"/>
  </w:num>
  <w:num w:numId="8" w16cid:durableId="1642884060">
    <w:abstractNumId w:val="3"/>
  </w:num>
  <w:num w:numId="9" w16cid:durableId="1622222191">
    <w:abstractNumId w:val="2"/>
  </w:num>
  <w:num w:numId="10" w16cid:durableId="69469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711"/>
    <w:rsid w:val="00015B05"/>
    <w:rsid w:val="00022CAB"/>
    <w:rsid w:val="00034740"/>
    <w:rsid w:val="00042422"/>
    <w:rsid w:val="00045B4C"/>
    <w:rsid w:val="000473BD"/>
    <w:rsid w:val="00063857"/>
    <w:rsid w:val="00083A03"/>
    <w:rsid w:val="00095D63"/>
    <w:rsid w:val="000A107E"/>
    <w:rsid w:val="000A2305"/>
    <w:rsid w:val="000B3A1B"/>
    <w:rsid w:val="000C0151"/>
    <w:rsid w:val="000C32FC"/>
    <w:rsid w:val="000E78EE"/>
    <w:rsid w:val="000F1B5F"/>
    <w:rsid w:val="000F2F71"/>
    <w:rsid w:val="000F5703"/>
    <w:rsid w:val="00104613"/>
    <w:rsid w:val="001516D1"/>
    <w:rsid w:val="00180AF4"/>
    <w:rsid w:val="00184399"/>
    <w:rsid w:val="001843EC"/>
    <w:rsid w:val="001A21E4"/>
    <w:rsid w:val="001A519D"/>
    <w:rsid w:val="001A6A7E"/>
    <w:rsid w:val="001C0103"/>
    <w:rsid w:val="001C0949"/>
    <w:rsid w:val="001D3039"/>
    <w:rsid w:val="001D6253"/>
    <w:rsid w:val="00200C42"/>
    <w:rsid w:val="00200EF5"/>
    <w:rsid w:val="002032A3"/>
    <w:rsid w:val="00204584"/>
    <w:rsid w:val="0021765C"/>
    <w:rsid w:val="00217693"/>
    <w:rsid w:val="00221026"/>
    <w:rsid w:val="00224FF2"/>
    <w:rsid w:val="00226E07"/>
    <w:rsid w:val="00230188"/>
    <w:rsid w:val="00231DF0"/>
    <w:rsid w:val="002350C0"/>
    <w:rsid w:val="0023609F"/>
    <w:rsid w:val="00237EC4"/>
    <w:rsid w:val="0025720D"/>
    <w:rsid w:val="00265A44"/>
    <w:rsid w:val="00273A36"/>
    <w:rsid w:val="00291371"/>
    <w:rsid w:val="00291467"/>
    <w:rsid w:val="002A269D"/>
    <w:rsid w:val="002C1774"/>
    <w:rsid w:val="002C37D6"/>
    <w:rsid w:val="002E5084"/>
    <w:rsid w:val="002F37E2"/>
    <w:rsid w:val="002F707F"/>
    <w:rsid w:val="00325266"/>
    <w:rsid w:val="00332ADB"/>
    <w:rsid w:val="0034308E"/>
    <w:rsid w:val="00360CC6"/>
    <w:rsid w:val="00371B6B"/>
    <w:rsid w:val="00376DE5"/>
    <w:rsid w:val="00394C92"/>
    <w:rsid w:val="003E0399"/>
    <w:rsid w:val="003F417B"/>
    <w:rsid w:val="0040010C"/>
    <w:rsid w:val="00424248"/>
    <w:rsid w:val="00445177"/>
    <w:rsid w:val="00447AF4"/>
    <w:rsid w:val="004515C9"/>
    <w:rsid w:val="00455568"/>
    <w:rsid w:val="00470E1F"/>
    <w:rsid w:val="0048201E"/>
    <w:rsid w:val="00496C85"/>
    <w:rsid w:val="00497565"/>
    <w:rsid w:val="004B7CDB"/>
    <w:rsid w:val="004C7B7F"/>
    <w:rsid w:val="004E7645"/>
    <w:rsid w:val="004F54CA"/>
    <w:rsid w:val="004F6A1C"/>
    <w:rsid w:val="0050034A"/>
    <w:rsid w:val="00501D85"/>
    <w:rsid w:val="00520CD9"/>
    <w:rsid w:val="00522973"/>
    <w:rsid w:val="00531575"/>
    <w:rsid w:val="00536F22"/>
    <w:rsid w:val="00540221"/>
    <w:rsid w:val="00570E63"/>
    <w:rsid w:val="005773C2"/>
    <w:rsid w:val="00584677"/>
    <w:rsid w:val="00591F8B"/>
    <w:rsid w:val="0059672E"/>
    <w:rsid w:val="005A0E15"/>
    <w:rsid w:val="005A258A"/>
    <w:rsid w:val="005A79A4"/>
    <w:rsid w:val="005B50E1"/>
    <w:rsid w:val="005C406B"/>
    <w:rsid w:val="005D6CF6"/>
    <w:rsid w:val="005D755E"/>
    <w:rsid w:val="005E3CD4"/>
    <w:rsid w:val="005F65DA"/>
    <w:rsid w:val="00601677"/>
    <w:rsid w:val="00601B44"/>
    <w:rsid w:val="006033F1"/>
    <w:rsid w:val="006206F2"/>
    <w:rsid w:val="006260A7"/>
    <w:rsid w:val="00643288"/>
    <w:rsid w:val="0064599D"/>
    <w:rsid w:val="006461AD"/>
    <w:rsid w:val="006623C0"/>
    <w:rsid w:val="00663985"/>
    <w:rsid w:val="00687243"/>
    <w:rsid w:val="006B1D8F"/>
    <w:rsid w:val="006B33C7"/>
    <w:rsid w:val="006D035E"/>
    <w:rsid w:val="006D365E"/>
    <w:rsid w:val="006E18BD"/>
    <w:rsid w:val="006F349C"/>
    <w:rsid w:val="00707B08"/>
    <w:rsid w:val="0071189F"/>
    <w:rsid w:val="00713173"/>
    <w:rsid w:val="007166D7"/>
    <w:rsid w:val="00724DAF"/>
    <w:rsid w:val="00733128"/>
    <w:rsid w:val="007720C2"/>
    <w:rsid w:val="0078435A"/>
    <w:rsid w:val="007B5C90"/>
    <w:rsid w:val="007D1E17"/>
    <w:rsid w:val="007D47FA"/>
    <w:rsid w:val="007D7D7C"/>
    <w:rsid w:val="007F7946"/>
    <w:rsid w:val="00806275"/>
    <w:rsid w:val="00820DC8"/>
    <w:rsid w:val="00822675"/>
    <w:rsid w:val="00825576"/>
    <w:rsid w:val="008312C7"/>
    <w:rsid w:val="00834548"/>
    <w:rsid w:val="00845F67"/>
    <w:rsid w:val="00856233"/>
    <w:rsid w:val="00867FF5"/>
    <w:rsid w:val="00881FA1"/>
    <w:rsid w:val="008844F2"/>
    <w:rsid w:val="00886144"/>
    <w:rsid w:val="00887410"/>
    <w:rsid w:val="008A0B24"/>
    <w:rsid w:val="008A6D15"/>
    <w:rsid w:val="008C4AFE"/>
    <w:rsid w:val="008C59CB"/>
    <w:rsid w:val="008E2714"/>
    <w:rsid w:val="008F622F"/>
    <w:rsid w:val="0092006B"/>
    <w:rsid w:val="00920F26"/>
    <w:rsid w:val="00923F0B"/>
    <w:rsid w:val="00945073"/>
    <w:rsid w:val="00980A84"/>
    <w:rsid w:val="009A15A5"/>
    <w:rsid w:val="009B5FDE"/>
    <w:rsid w:val="009B7BE3"/>
    <w:rsid w:val="009C3CCC"/>
    <w:rsid w:val="009D67BA"/>
    <w:rsid w:val="009E6901"/>
    <w:rsid w:val="009F0D20"/>
    <w:rsid w:val="009F4AE4"/>
    <w:rsid w:val="009F5AEA"/>
    <w:rsid w:val="00A204A8"/>
    <w:rsid w:val="00A33E23"/>
    <w:rsid w:val="00A42F1D"/>
    <w:rsid w:val="00A513BA"/>
    <w:rsid w:val="00A528CB"/>
    <w:rsid w:val="00A52BBB"/>
    <w:rsid w:val="00A52C26"/>
    <w:rsid w:val="00A6129F"/>
    <w:rsid w:val="00AA0297"/>
    <w:rsid w:val="00AA17EF"/>
    <w:rsid w:val="00AA5C10"/>
    <w:rsid w:val="00AC1513"/>
    <w:rsid w:val="00AC1BAF"/>
    <w:rsid w:val="00AE07AB"/>
    <w:rsid w:val="00AE23AB"/>
    <w:rsid w:val="00AE2EE1"/>
    <w:rsid w:val="00AF2B31"/>
    <w:rsid w:val="00AF4967"/>
    <w:rsid w:val="00B1114C"/>
    <w:rsid w:val="00B22D02"/>
    <w:rsid w:val="00B22EAF"/>
    <w:rsid w:val="00B30EB8"/>
    <w:rsid w:val="00B3792B"/>
    <w:rsid w:val="00B43954"/>
    <w:rsid w:val="00B5376C"/>
    <w:rsid w:val="00B6564C"/>
    <w:rsid w:val="00B73561"/>
    <w:rsid w:val="00B94DDB"/>
    <w:rsid w:val="00B977D3"/>
    <w:rsid w:val="00BE6EA6"/>
    <w:rsid w:val="00BF7016"/>
    <w:rsid w:val="00C05E66"/>
    <w:rsid w:val="00C21739"/>
    <w:rsid w:val="00C36CB0"/>
    <w:rsid w:val="00C454CF"/>
    <w:rsid w:val="00C53813"/>
    <w:rsid w:val="00C713B5"/>
    <w:rsid w:val="00CB076B"/>
    <w:rsid w:val="00CB372B"/>
    <w:rsid w:val="00CC187F"/>
    <w:rsid w:val="00CC6414"/>
    <w:rsid w:val="00D02F9E"/>
    <w:rsid w:val="00D21ED4"/>
    <w:rsid w:val="00D55D03"/>
    <w:rsid w:val="00D57B28"/>
    <w:rsid w:val="00D57DEE"/>
    <w:rsid w:val="00D658D1"/>
    <w:rsid w:val="00D73A2E"/>
    <w:rsid w:val="00D74D5D"/>
    <w:rsid w:val="00D74FF4"/>
    <w:rsid w:val="00D84EC3"/>
    <w:rsid w:val="00D947DC"/>
    <w:rsid w:val="00DD0C51"/>
    <w:rsid w:val="00DD47BC"/>
    <w:rsid w:val="00DF6126"/>
    <w:rsid w:val="00E020F4"/>
    <w:rsid w:val="00E1624C"/>
    <w:rsid w:val="00E22862"/>
    <w:rsid w:val="00E3256E"/>
    <w:rsid w:val="00E35FE6"/>
    <w:rsid w:val="00E361AC"/>
    <w:rsid w:val="00E36D73"/>
    <w:rsid w:val="00E43FBD"/>
    <w:rsid w:val="00E52D34"/>
    <w:rsid w:val="00E620AD"/>
    <w:rsid w:val="00E6395F"/>
    <w:rsid w:val="00E64DEA"/>
    <w:rsid w:val="00E929C1"/>
    <w:rsid w:val="00E9758F"/>
    <w:rsid w:val="00EA0EE8"/>
    <w:rsid w:val="00EB12BE"/>
    <w:rsid w:val="00EB549C"/>
    <w:rsid w:val="00EB71A4"/>
    <w:rsid w:val="00ED4317"/>
    <w:rsid w:val="00EE4095"/>
    <w:rsid w:val="00F010A9"/>
    <w:rsid w:val="00F27219"/>
    <w:rsid w:val="00F57D54"/>
    <w:rsid w:val="00F60E46"/>
    <w:rsid w:val="00F60EE7"/>
    <w:rsid w:val="00F651B8"/>
    <w:rsid w:val="00F65AA6"/>
    <w:rsid w:val="00F7093E"/>
    <w:rsid w:val="00F81FB9"/>
    <w:rsid w:val="00F84C67"/>
    <w:rsid w:val="00FA122B"/>
    <w:rsid w:val="00FA1566"/>
    <w:rsid w:val="00FA678F"/>
    <w:rsid w:val="00FB12E2"/>
    <w:rsid w:val="00FB1F4B"/>
    <w:rsid w:val="00FB57D8"/>
    <w:rsid w:val="00FC6A16"/>
    <w:rsid w:val="00FD7815"/>
    <w:rsid w:val="00FF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 w:type="character" w:styleId="Hyperlink">
    <w:name w:val="Hyperlink"/>
    <w:basedOn w:val="DefaultParagraphFont"/>
    <w:uiPriority w:val="99"/>
    <w:unhideWhenUsed/>
    <w:rsid w:val="002F707F"/>
    <w:rPr>
      <w:color w:val="0000FF"/>
      <w:u w:val="single"/>
    </w:rPr>
  </w:style>
  <w:style w:type="character" w:styleId="UnresolvedMention">
    <w:name w:val="Unresolved Mention"/>
    <w:basedOn w:val="DefaultParagraphFont"/>
    <w:uiPriority w:val="99"/>
    <w:semiHidden/>
    <w:unhideWhenUsed/>
    <w:rsid w:val="00FA1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42177">
      <w:bodyDiv w:val="1"/>
      <w:marLeft w:val="0"/>
      <w:marRight w:val="0"/>
      <w:marTop w:val="0"/>
      <w:marBottom w:val="0"/>
      <w:divBdr>
        <w:top w:val="none" w:sz="0" w:space="0" w:color="auto"/>
        <w:left w:val="none" w:sz="0" w:space="0" w:color="auto"/>
        <w:bottom w:val="none" w:sz="0" w:space="0" w:color="auto"/>
        <w:right w:val="none" w:sz="0" w:space="0" w:color="auto"/>
      </w:divBdr>
    </w:div>
    <w:div w:id="125128438">
      <w:bodyDiv w:val="1"/>
      <w:marLeft w:val="0"/>
      <w:marRight w:val="0"/>
      <w:marTop w:val="0"/>
      <w:marBottom w:val="0"/>
      <w:divBdr>
        <w:top w:val="none" w:sz="0" w:space="0" w:color="auto"/>
        <w:left w:val="none" w:sz="0" w:space="0" w:color="auto"/>
        <w:bottom w:val="none" w:sz="0" w:space="0" w:color="auto"/>
        <w:right w:val="none" w:sz="0" w:space="0" w:color="auto"/>
      </w:divBdr>
    </w:div>
    <w:div w:id="287975946">
      <w:bodyDiv w:val="1"/>
      <w:marLeft w:val="0"/>
      <w:marRight w:val="0"/>
      <w:marTop w:val="0"/>
      <w:marBottom w:val="0"/>
      <w:divBdr>
        <w:top w:val="none" w:sz="0" w:space="0" w:color="auto"/>
        <w:left w:val="none" w:sz="0" w:space="0" w:color="auto"/>
        <w:bottom w:val="none" w:sz="0" w:space="0" w:color="auto"/>
        <w:right w:val="none" w:sz="0" w:space="0" w:color="auto"/>
      </w:divBdr>
    </w:div>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826554503">
      <w:bodyDiv w:val="1"/>
      <w:marLeft w:val="0"/>
      <w:marRight w:val="0"/>
      <w:marTop w:val="0"/>
      <w:marBottom w:val="0"/>
      <w:divBdr>
        <w:top w:val="none" w:sz="0" w:space="0" w:color="auto"/>
        <w:left w:val="none" w:sz="0" w:space="0" w:color="auto"/>
        <w:bottom w:val="none" w:sz="0" w:space="0" w:color="auto"/>
        <w:right w:val="none" w:sz="0" w:space="0" w:color="auto"/>
      </w:divBdr>
      <w:divsChild>
        <w:div w:id="1481189406">
          <w:marLeft w:val="0"/>
          <w:marRight w:val="0"/>
          <w:marTop w:val="0"/>
          <w:marBottom w:val="0"/>
          <w:divBdr>
            <w:top w:val="none" w:sz="0" w:space="0" w:color="auto"/>
            <w:left w:val="none" w:sz="0" w:space="0" w:color="auto"/>
            <w:bottom w:val="none" w:sz="0" w:space="0" w:color="auto"/>
            <w:right w:val="none" w:sz="0" w:space="0" w:color="auto"/>
          </w:divBdr>
        </w:div>
      </w:divsChild>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7328">
      <w:bodyDiv w:val="1"/>
      <w:marLeft w:val="0"/>
      <w:marRight w:val="0"/>
      <w:marTop w:val="0"/>
      <w:marBottom w:val="0"/>
      <w:divBdr>
        <w:top w:val="none" w:sz="0" w:space="0" w:color="auto"/>
        <w:left w:val="none" w:sz="0" w:space="0" w:color="auto"/>
        <w:bottom w:val="none" w:sz="0" w:space="0" w:color="auto"/>
        <w:right w:val="none" w:sz="0" w:space="0" w:color="auto"/>
      </w:divBdr>
    </w:div>
    <w:div w:id="1283462208">
      <w:bodyDiv w:val="1"/>
      <w:marLeft w:val="0"/>
      <w:marRight w:val="0"/>
      <w:marTop w:val="0"/>
      <w:marBottom w:val="0"/>
      <w:divBdr>
        <w:top w:val="none" w:sz="0" w:space="0" w:color="auto"/>
        <w:left w:val="none" w:sz="0" w:space="0" w:color="auto"/>
        <w:bottom w:val="none" w:sz="0" w:space="0" w:color="auto"/>
        <w:right w:val="none" w:sz="0" w:space="0" w:color="auto"/>
      </w:divBdr>
    </w:div>
    <w:div w:id="1333414415">
      <w:bodyDiv w:val="1"/>
      <w:marLeft w:val="0"/>
      <w:marRight w:val="0"/>
      <w:marTop w:val="0"/>
      <w:marBottom w:val="0"/>
      <w:divBdr>
        <w:top w:val="none" w:sz="0" w:space="0" w:color="auto"/>
        <w:left w:val="none" w:sz="0" w:space="0" w:color="auto"/>
        <w:bottom w:val="none" w:sz="0" w:space="0" w:color="auto"/>
        <w:right w:val="none" w:sz="0" w:space="0" w:color="auto"/>
      </w:divBdr>
      <w:divsChild>
        <w:div w:id="274675396">
          <w:marLeft w:val="0"/>
          <w:marRight w:val="0"/>
          <w:marTop w:val="0"/>
          <w:marBottom w:val="0"/>
          <w:divBdr>
            <w:top w:val="none" w:sz="0" w:space="0" w:color="auto"/>
            <w:left w:val="none" w:sz="0" w:space="0" w:color="auto"/>
            <w:bottom w:val="none" w:sz="0" w:space="0" w:color="auto"/>
            <w:right w:val="none" w:sz="0" w:space="0" w:color="auto"/>
          </w:divBdr>
        </w:div>
      </w:divsChild>
    </w:div>
    <w:div w:id="1421832534">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6930">
      <w:bodyDiv w:val="1"/>
      <w:marLeft w:val="0"/>
      <w:marRight w:val="0"/>
      <w:marTop w:val="0"/>
      <w:marBottom w:val="0"/>
      <w:divBdr>
        <w:top w:val="none" w:sz="0" w:space="0" w:color="auto"/>
        <w:left w:val="none" w:sz="0" w:space="0" w:color="auto"/>
        <w:bottom w:val="none" w:sz="0" w:space="0" w:color="auto"/>
        <w:right w:val="none" w:sz="0" w:space="0" w:color="auto"/>
      </w:divBdr>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3.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2</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7</cp:revision>
  <cp:lastPrinted>2022-11-25T21:05:00Z</cp:lastPrinted>
  <dcterms:created xsi:type="dcterms:W3CDTF">2024-02-15T16:18:00Z</dcterms:created>
  <dcterms:modified xsi:type="dcterms:W3CDTF">2024-02-16T11:06:00Z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